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7F" w:rsidRPr="0046057F" w:rsidRDefault="0046057F" w:rsidP="0046057F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bookmarkStart w:id="0" w:name="_GoBack"/>
      <w:bookmarkEnd w:id="0"/>
    </w:p>
    <w:p w:rsidR="0046057F" w:rsidRPr="0046057F" w:rsidRDefault="0046057F" w:rsidP="0046057F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46057F">
        <w:rPr>
          <w:rFonts w:ascii="Calibri" w:eastAsia="Calibri" w:hAnsi="Calibri" w:cs="Arial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B1EEA" wp14:editId="6DEDE094">
                <wp:simplePos x="0" y="0"/>
                <wp:positionH relativeFrom="column">
                  <wp:posOffset>1059180</wp:posOffset>
                </wp:positionH>
                <wp:positionV relativeFrom="paragraph">
                  <wp:posOffset>464820</wp:posOffset>
                </wp:positionV>
                <wp:extent cx="2819400" cy="510540"/>
                <wp:effectExtent l="0" t="0" r="19050" b="22860"/>
                <wp:wrapNone/>
                <wp:docPr id="16" name="مخطط انسيابي: معالج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1054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057F" w:rsidRPr="0046057F" w:rsidRDefault="0046057F" w:rsidP="0046057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المنهج التحليلي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54B1EEA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6" o:spid="_x0000_s1026" type="#_x0000_t109" style="position:absolute;left:0;text-align:left;margin-left:83.4pt;margin-top:36.6pt;width:22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" strokecolor="#385d8a" strokeweight="2pt">
                <v:fill color2="#959595" rotate="t" focusposition=".5,.5" focussize="" focus="100%" type="gradientRadial"/>
                <v:textbox>
                  <w:txbxContent>
                    <w:p w:rsidR="0046057F" w:rsidRPr="0046057F" w:rsidRDefault="0046057F" w:rsidP="0046057F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46057F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المنهج التحليلي</w:t>
                      </w:r>
                    </w:p>
                  </w:txbxContent>
                </v:textbox>
              </v:shape>
            </w:pict>
          </mc:Fallback>
        </mc:AlternateContent>
      </w:r>
      <w:r w:rsidRPr="0046057F">
        <w:rPr>
          <w:rFonts w:ascii="Calibri" w:eastAsia="Calibri" w:hAnsi="Calibri" w:cs="Arial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D8B58" wp14:editId="3D67994B">
                <wp:simplePos x="0" y="0"/>
                <wp:positionH relativeFrom="column">
                  <wp:posOffset>-304800</wp:posOffset>
                </wp:positionH>
                <wp:positionV relativeFrom="paragraph">
                  <wp:posOffset>-411480</wp:posOffset>
                </wp:positionV>
                <wp:extent cx="5433060" cy="612648"/>
                <wp:effectExtent l="0" t="0" r="15240" b="16510"/>
                <wp:wrapNone/>
                <wp:docPr id="14" name="شريط إلى الأعلى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60" cy="612648"/>
                        </a:xfrm>
                        <a:prstGeom prst="ribbon2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40000"/>
                                <a:satMod val="350000"/>
                              </a:srgbClr>
                            </a:gs>
                            <a:gs pos="40000">
                              <a:srgbClr val="1F497D">
                                <a:tint val="45000"/>
                                <a:shade val="99000"/>
                                <a:satMod val="350000"/>
                              </a:srgbClr>
                            </a:gs>
                            <a:gs pos="100000">
                              <a:srgbClr val="1F497D">
                                <a:shade val="20000"/>
                                <a:satMod val="255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057F" w:rsidRPr="00B96EBE" w:rsidRDefault="0046057F" w:rsidP="0046057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B96EB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المحاضرة الرابعة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9CD8B5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شريط إلى الأعلى 14" o:spid="_x0000_s1027" type="#_x0000_t54" style="position:absolute;left:0;text-align:left;margin-left:-24pt;margin-top:-32.4pt;width:427.8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" adj=",18000" fillcolor="#bec9e5" strokecolor="#385d8a" strokeweight="2pt">
                <v:fill color2="#001a5e" rotate="t" focusposition=".5,-52429f" focussize="" colors="0 #bec9e5;26214f #b4c1e1;1 #001a5e" focus="100%" type="gradientRadial"/>
                <v:textbox>
                  <w:txbxContent>
                    <w:p w:rsidR="0046057F" w:rsidRPr="00B96EBE" w:rsidRDefault="0046057F" w:rsidP="0046057F">
                      <w:pPr>
                        <w:jc w:val="center"/>
                        <w:rPr>
                          <w:color w:val="C00000"/>
                        </w:rPr>
                      </w:pPr>
                      <w:r w:rsidRPr="00B96EB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المحاضرة الرابعة</w:t>
                      </w:r>
                    </w:p>
                  </w:txbxContent>
                </v:textbox>
              </v:shape>
            </w:pict>
          </mc:Fallback>
        </mc:AlternateContent>
      </w:r>
    </w:p>
    <w:p w:rsidR="0046057F" w:rsidRPr="0046057F" w:rsidRDefault="0046057F" w:rsidP="0046057F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FF0000"/>
          <w:sz w:val="32"/>
          <w:szCs w:val="32"/>
          <w:rtl/>
        </w:rPr>
      </w:pPr>
    </w:p>
    <w:p w:rsidR="0046057F" w:rsidRPr="0046057F" w:rsidRDefault="0046057F" w:rsidP="0046057F">
      <w:pPr>
        <w:bidi/>
        <w:spacing w:after="200" w:line="360" w:lineRule="auto"/>
        <w:rPr>
          <w:rFonts w:ascii="Calibri" w:eastAsia="Calibri" w:hAnsi="Calibri" w:cs="Arial"/>
          <w:b/>
          <w:bCs/>
          <w:color w:val="FF0000"/>
          <w:sz w:val="32"/>
          <w:szCs w:val="32"/>
        </w:rPr>
      </w:pPr>
      <w:r w:rsidRPr="0046057F">
        <w:rPr>
          <w:rFonts w:ascii="Calibri" w:eastAsia="Calibri" w:hAnsi="Calibri" w:cs="Arial"/>
          <w:b/>
          <w:bCs/>
          <w:color w:val="FF0000"/>
          <w:sz w:val="32"/>
          <w:szCs w:val="32"/>
          <w:rtl/>
        </w:rPr>
        <w:t>ثانياً: المنهج التحليلي</w:t>
      </w:r>
      <w:r w:rsidRPr="0046057F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</w:rPr>
        <w:t>.</w:t>
      </w:r>
    </w:p>
    <w:p w:rsidR="0046057F" w:rsidRPr="0046057F" w:rsidRDefault="0046057F" w:rsidP="0046057F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المنهج التحليلي يُعَدّ</w:t>
      </w:r>
      <w:r w:rsidRPr="0046057F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46057F">
        <w:rPr>
          <w:rFonts w:ascii="Calibri" w:eastAsia="Calibri" w:hAnsi="Calibri" w:cs="Arial"/>
          <w:sz w:val="28"/>
          <w:szCs w:val="28"/>
          <w:rtl/>
        </w:rPr>
        <w:t>من أهم المناهج العلمية التي تُعنى بتفكيك النصوص ودراسة مكوّناتها وتحليلها للوصول إلى المعاني الدقيقة، واكتشاف العلاقات بين عناصرها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يقوم هذا المنهج على</w:t>
      </w:r>
      <w:r w:rsidRPr="0046057F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46057F">
        <w:rPr>
          <w:rFonts w:ascii="Calibri" w:eastAsia="Calibri" w:hAnsi="Calibri" w:cs="Arial"/>
          <w:sz w:val="28"/>
          <w:szCs w:val="28"/>
          <w:rtl/>
        </w:rPr>
        <w:t xml:space="preserve">التحليل، </w:t>
      </w:r>
      <w:r w:rsidRPr="0046057F">
        <w:rPr>
          <w:rFonts w:ascii="Calibri" w:eastAsia="Calibri" w:hAnsi="Calibri" w:cs="Arial" w:hint="cs"/>
          <w:sz w:val="28"/>
          <w:szCs w:val="28"/>
          <w:rtl/>
        </w:rPr>
        <w:t>والاستقراء</w:t>
      </w:r>
      <w:r w:rsidRPr="0046057F">
        <w:rPr>
          <w:rFonts w:ascii="Calibri" w:eastAsia="Calibri" w:hAnsi="Calibri" w:cs="Arial"/>
          <w:sz w:val="28"/>
          <w:szCs w:val="28"/>
          <w:rtl/>
        </w:rPr>
        <w:t>، والتركيب، والنقد، والاستنباط، وهو المنهج الأبرز في دراسة النصوص الأدبية والفكرية، ومنها نصوص نهج البلاغة التي تتطلب فهماً عميقاً لبنية الخطاب ومعانيه ودلالاته البلاغية والعقدية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أنواع المنهج التحليلي:</w:t>
      </w:r>
    </w:p>
    <w:p w:rsidR="0046057F" w:rsidRPr="0046057F" w:rsidRDefault="0046057F" w:rsidP="0046057F">
      <w:pPr>
        <w:numPr>
          <w:ilvl w:val="0"/>
          <w:numId w:val="1"/>
        </w:numPr>
        <w:bidi/>
        <w:spacing w:after="200" w:line="360" w:lineRule="auto"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المنهج التحليلي النظري:</w:t>
      </w:r>
    </w:p>
    <w:p w:rsidR="0046057F" w:rsidRPr="0046057F" w:rsidRDefault="0046057F" w:rsidP="0046057F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يُستخدم في الدراسات الإنسانية والفكرية التي تعتمد على تفسير الظواهر والمفاهيم، مثل تحليل المفاهيم الأخلاقية والعقدية في خطب الإمام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numPr>
          <w:ilvl w:val="0"/>
          <w:numId w:val="1"/>
        </w:numPr>
        <w:bidi/>
        <w:spacing w:after="200" w:line="360" w:lineRule="auto"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المنهج التحليلي الت</w:t>
      </w:r>
      <w:r w:rsidRPr="0046057F">
        <w:rPr>
          <w:rFonts w:ascii="Calibri" w:eastAsia="Calibri" w:hAnsi="Calibri" w:cs="Arial" w:hint="cs"/>
          <w:b/>
          <w:bCs/>
          <w:sz w:val="28"/>
          <w:szCs w:val="28"/>
          <w:rtl/>
        </w:rPr>
        <w:t>طبيقي</w:t>
      </w: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:</w:t>
      </w:r>
    </w:p>
    <w:p w:rsidR="0046057F" w:rsidRPr="0046057F" w:rsidRDefault="0046057F" w:rsidP="0046057F">
      <w:pPr>
        <w:bidi/>
        <w:spacing w:after="200" w:line="360" w:lineRule="auto"/>
        <w:ind w:left="720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يركّز على تحليل الظواهر من خلال الملاحظة التطبيقية والمقارنة بين النتائج، ويمكن تطبيقه في الدراسات البلاغية واللغوية عند تحليل النصوص مقارنةً بنصوص معاصرة لها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عمليات المنهج التحليلي:</w:t>
      </w:r>
    </w:p>
    <w:p w:rsidR="0046057F" w:rsidRPr="0046057F" w:rsidRDefault="0046057F" w:rsidP="0046057F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التفسير:</w:t>
      </w:r>
      <w:r w:rsidRPr="0046057F">
        <w:rPr>
          <w:rFonts w:ascii="Calibri" w:eastAsia="Calibri" w:hAnsi="Calibri" w:cs="Arial"/>
          <w:sz w:val="28"/>
          <w:szCs w:val="28"/>
        </w:rPr>
        <w:br/>
      </w:r>
      <w:r w:rsidRPr="0046057F">
        <w:rPr>
          <w:rFonts w:ascii="Calibri" w:eastAsia="Calibri" w:hAnsi="Calibri" w:cs="Arial"/>
          <w:sz w:val="28"/>
          <w:szCs w:val="28"/>
          <w:rtl/>
        </w:rPr>
        <w:t xml:space="preserve">هو الكشف عن المعاني الخفية والربط بين المفاهيم المتباعدة في النص، ويُعد من أهم الأدوات التي يحتاجها الشارح لفهم </w:t>
      </w:r>
      <w:proofErr w:type="spellStart"/>
      <w:r w:rsidRPr="0046057F">
        <w:rPr>
          <w:rFonts w:ascii="Calibri" w:eastAsia="Calibri" w:hAnsi="Calibri" w:cs="Arial"/>
          <w:sz w:val="28"/>
          <w:szCs w:val="28"/>
          <w:rtl/>
        </w:rPr>
        <w:t>مرادات</w:t>
      </w:r>
      <w:proofErr w:type="spellEnd"/>
      <w:r w:rsidRPr="0046057F">
        <w:rPr>
          <w:rFonts w:ascii="Calibri" w:eastAsia="Calibri" w:hAnsi="Calibri" w:cs="Arial"/>
          <w:sz w:val="28"/>
          <w:szCs w:val="28"/>
          <w:rtl/>
        </w:rPr>
        <w:t xml:space="preserve"> الإمام عليه السلام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قال الإمام علي عليه السلام: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lastRenderedPageBreak/>
        <w:t xml:space="preserve">«الدنيا دار ممرّ لا دار مقرّ، والناس فيها رجلان: رجل باع فيها نفسه </w:t>
      </w:r>
      <w:proofErr w:type="spellStart"/>
      <w:r w:rsidRPr="0046057F">
        <w:rPr>
          <w:rFonts w:ascii="Calibri" w:eastAsia="Calibri" w:hAnsi="Calibri" w:cs="Arial"/>
          <w:sz w:val="28"/>
          <w:szCs w:val="28"/>
          <w:rtl/>
        </w:rPr>
        <w:t>فأوبقها</w:t>
      </w:r>
      <w:proofErr w:type="spellEnd"/>
      <w:r w:rsidRPr="0046057F">
        <w:rPr>
          <w:rFonts w:ascii="Calibri" w:eastAsia="Calibri" w:hAnsi="Calibri" w:cs="Arial"/>
          <w:sz w:val="28"/>
          <w:szCs w:val="28"/>
          <w:rtl/>
        </w:rPr>
        <w:t>، ورجل ابتاع نفسه فأعتقها».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التحليل التفسيري: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ظاهر النص يتحدث عن الدنيا والإنسان، لكن التفسير يكشف المعنى الخفي وهو أن الإمام يقسم الناس بحسب موقفهم من القيم الأخلاقية لا بحسب أفعالهم المادية.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 xml:space="preserve">"باع نفسه" تعني أنه قدّم شهواته على قيمه، </w:t>
      </w:r>
      <w:proofErr w:type="spellStart"/>
      <w:r w:rsidRPr="0046057F">
        <w:rPr>
          <w:rFonts w:ascii="Calibri" w:eastAsia="Calibri" w:hAnsi="Calibri" w:cs="Arial"/>
          <w:sz w:val="28"/>
          <w:szCs w:val="28"/>
          <w:rtl/>
        </w:rPr>
        <w:t>و"أوبقها</w:t>
      </w:r>
      <w:proofErr w:type="spellEnd"/>
      <w:r w:rsidRPr="0046057F">
        <w:rPr>
          <w:rFonts w:ascii="Calibri" w:eastAsia="Calibri" w:hAnsi="Calibri" w:cs="Arial"/>
          <w:sz w:val="28"/>
          <w:szCs w:val="28"/>
          <w:rtl/>
        </w:rPr>
        <w:t>" أي أهلكها بالمعصية، بينما "ابتاع نفسه" أي أنقذها من الهلاك بالطاعة والوعي.</w:t>
      </w:r>
    </w:p>
    <w:p w:rsidR="0046057F" w:rsidRPr="0046057F" w:rsidRDefault="0046057F" w:rsidP="0046057F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من خلال التفسير يتضح أن الإمام يطرح رؤية فلسفية أخلاقية عن الحرية والعبودية في مفهومها المعنوي.</w:t>
      </w:r>
    </w:p>
    <w:p w:rsidR="0046057F" w:rsidRPr="0046057F" w:rsidRDefault="0046057F" w:rsidP="0046057F">
      <w:pPr>
        <w:numPr>
          <w:ilvl w:val="0"/>
          <w:numId w:val="2"/>
        </w:num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</w:rPr>
      </w:pPr>
      <w:r w:rsidRPr="0046057F">
        <w:rPr>
          <w:rFonts w:ascii="Calibri" w:eastAsia="Calibri" w:hAnsi="Calibri" w:cs="Arial"/>
          <w:b/>
          <w:bCs/>
          <w:sz w:val="28"/>
          <w:szCs w:val="28"/>
          <w:rtl/>
        </w:rPr>
        <w:t>الاستنباط:</w:t>
      </w:r>
      <w:r w:rsidRPr="0046057F">
        <w:rPr>
          <w:rFonts w:ascii="Calibri" w:eastAsia="Calibri" w:hAnsi="Calibri" w:cs="Arial"/>
          <w:sz w:val="28"/>
          <w:szCs w:val="28"/>
        </w:rPr>
        <w:br/>
      </w:r>
      <w:r w:rsidRPr="0046057F">
        <w:rPr>
          <w:rFonts w:ascii="Calibri" w:eastAsia="Calibri" w:hAnsi="Calibri" w:cs="Arial"/>
          <w:sz w:val="28"/>
          <w:szCs w:val="28"/>
          <w:rtl/>
        </w:rPr>
        <w:t>استخراج الدلالات الكلية من الجزئيات، وهو ما يمكّن الشارح من بناء رؤية فكرية أو عقدية شاملة للنص</w:t>
      </w:r>
      <w:r w:rsidRPr="0046057F">
        <w:rPr>
          <w:rFonts w:ascii="Calibri" w:eastAsia="Calibri" w:hAnsi="Calibri" w:cs="Arial"/>
          <w:sz w:val="28"/>
          <w:szCs w:val="28"/>
        </w:rPr>
        <w:t>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قال الإمام علي عليه السلام: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«ما رأيت نعمة موفورة إلا وبجانبها حق مضيّع».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التحليل الاستنباطي: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من هذا النص الجزئي يمكن للشارح أن يستنبط قاعدة فكرية عامة: أن كل رخاء أو ثراء في المجتمع يقابله مسؤولية اجتماعية، وأن اختلال التوازن بين النعمة والحق يولّد الظلم.</w:t>
      </w:r>
    </w:p>
    <w:p w:rsidR="0046057F" w:rsidRPr="0046057F" w:rsidRDefault="0046057F" w:rsidP="0046057F">
      <w:pPr>
        <w:bidi/>
        <w:spacing w:after="200" w:line="360" w:lineRule="auto"/>
        <w:ind w:left="360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 xml:space="preserve">أي </w:t>
      </w:r>
      <w:r w:rsidRPr="0046057F">
        <w:rPr>
          <w:rFonts w:ascii="Calibri" w:eastAsia="Calibri" w:hAnsi="Calibri" w:cs="Arial" w:hint="cs"/>
          <w:sz w:val="28"/>
          <w:szCs w:val="28"/>
          <w:rtl/>
        </w:rPr>
        <w:t>إ</w:t>
      </w:r>
      <w:r w:rsidRPr="0046057F">
        <w:rPr>
          <w:rFonts w:ascii="Calibri" w:eastAsia="Calibri" w:hAnsi="Calibri" w:cs="Arial"/>
          <w:sz w:val="28"/>
          <w:szCs w:val="28"/>
          <w:rtl/>
        </w:rPr>
        <w:t>ن الإمام يقرّر مبدأ اجتماعيًا عامًا مفاده أن العدالة تقتضي الموازنة بين النعمة والمسؤولية، وأن الثروة بلا حق تعدّ ظلماً.</w:t>
      </w:r>
    </w:p>
    <w:p w:rsidR="0046057F" w:rsidRPr="0046057F" w:rsidRDefault="0046057F" w:rsidP="0046057F">
      <w:pPr>
        <w:bidi/>
        <w:spacing w:after="200" w:line="360" w:lineRule="auto"/>
        <w:ind w:left="360"/>
        <w:jc w:val="both"/>
        <w:rPr>
          <w:rFonts w:ascii="Calibri" w:eastAsia="Calibri" w:hAnsi="Calibri" w:cs="Arial"/>
          <w:sz w:val="28"/>
          <w:szCs w:val="28"/>
          <w:rtl/>
        </w:rPr>
      </w:pPr>
      <w:r w:rsidRPr="0046057F">
        <w:rPr>
          <w:rFonts w:ascii="Calibri" w:eastAsia="Calibri" w:hAnsi="Calibri" w:cs="Arial"/>
          <w:sz w:val="28"/>
          <w:szCs w:val="28"/>
          <w:rtl/>
        </w:rPr>
        <w:t>من جزئية واحدة، يُستنبط مبدأ عام يُطبّق على مختلف الأزمنة والمجتمعات.</w:t>
      </w:r>
    </w:p>
    <w:p w:rsidR="00221A28" w:rsidRPr="0046057F" w:rsidRDefault="00221A28" w:rsidP="0046057F">
      <w:pPr>
        <w:bidi/>
        <w:rPr>
          <w:sz w:val="28"/>
          <w:szCs w:val="28"/>
        </w:rPr>
      </w:pPr>
    </w:p>
    <w:sectPr w:rsidR="00221A28" w:rsidRPr="0046057F" w:rsidSect="0046057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0ABA"/>
    <w:multiLevelType w:val="multilevel"/>
    <w:tmpl w:val="6E20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0310D"/>
    <w:multiLevelType w:val="multilevel"/>
    <w:tmpl w:val="3242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644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C71FE"/>
    <w:multiLevelType w:val="hybridMultilevel"/>
    <w:tmpl w:val="94A6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13"/>
    <w:rsid w:val="00221A28"/>
    <w:rsid w:val="00254D2B"/>
    <w:rsid w:val="0046057F"/>
    <w:rsid w:val="007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ابو فاطمه</dc:creator>
  <cp:lastModifiedBy>DR.Ahmed Saker 2O11</cp:lastModifiedBy>
  <cp:revision>2</cp:revision>
  <dcterms:created xsi:type="dcterms:W3CDTF">2026-05-26T11:00:00Z</dcterms:created>
  <dcterms:modified xsi:type="dcterms:W3CDTF">2026-05-26T11:00:00Z</dcterms:modified>
</cp:coreProperties>
</file>