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48" w:rsidRPr="00E95648" w:rsidRDefault="00E95648" w:rsidP="00E95648">
      <w:pPr>
        <w:bidi/>
        <w:spacing w:after="200" w:line="360" w:lineRule="auto"/>
        <w:ind w:left="360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E95648" w:rsidRPr="00E95648" w:rsidRDefault="00E95648" w:rsidP="00E95648">
      <w:pPr>
        <w:bidi/>
        <w:spacing w:after="200" w:line="360" w:lineRule="auto"/>
        <w:ind w:left="360"/>
        <w:jc w:val="both"/>
        <w:rPr>
          <w:rFonts w:ascii="Calibri" w:eastAsia="Calibri" w:hAnsi="Calibri" w:cs="Arial"/>
          <w:sz w:val="28"/>
          <w:szCs w:val="28"/>
          <w:rtl/>
        </w:rPr>
      </w:pPr>
      <w:r w:rsidRPr="00E95648">
        <w:rPr>
          <w:rFonts w:ascii="Calibri" w:eastAsia="Calibri" w:hAnsi="Calibri" w:cs="Ari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A037D" wp14:editId="2544CEDE">
                <wp:simplePos x="0" y="0"/>
                <wp:positionH relativeFrom="column">
                  <wp:posOffset>990600</wp:posOffset>
                </wp:positionH>
                <wp:positionV relativeFrom="paragraph">
                  <wp:posOffset>320040</wp:posOffset>
                </wp:positionV>
                <wp:extent cx="2819400" cy="480060"/>
                <wp:effectExtent l="0" t="0" r="19050" b="15240"/>
                <wp:wrapNone/>
                <wp:docPr id="18" name="مخطط انسيابي: معالج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8006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5648" w:rsidRPr="00E95648" w:rsidRDefault="00E95648" w:rsidP="00E95648">
                            <w:pPr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5648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عمليات المنهج التحليلي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A037D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18" o:spid="_x0000_s1026" type="#_x0000_t109" style="position:absolute;left:0;text-align:left;margin-left:78pt;margin-top:25.2pt;width:222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" fillcolor="#4f81bd" strokecolor="#385d8a" strokeweight="2pt">
                <v:textbox>
                  <w:txbxContent>
                    <w:p w:rsidR="00E95648" w:rsidRPr="00E95648" w:rsidRDefault="00E95648" w:rsidP="00E95648">
                      <w:pPr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  <w:r w:rsidRPr="00E95648">
                        <w:rPr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عمليات المنهج التحليلي</w:t>
                      </w:r>
                    </w:p>
                  </w:txbxContent>
                </v:textbox>
              </v:shape>
            </w:pict>
          </mc:Fallback>
        </mc:AlternateContent>
      </w:r>
      <w:r w:rsidRPr="00E95648">
        <w:rPr>
          <w:rFonts w:ascii="Calibri" w:eastAsia="Calibri" w:hAnsi="Calibri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0E93F" wp14:editId="12C1047C">
                <wp:simplePos x="0" y="0"/>
                <wp:positionH relativeFrom="column">
                  <wp:posOffset>-365760</wp:posOffset>
                </wp:positionH>
                <wp:positionV relativeFrom="paragraph">
                  <wp:posOffset>-396240</wp:posOffset>
                </wp:positionV>
                <wp:extent cx="5410200" cy="612648"/>
                <wp:effectExtent l="0" t="0" r="19050" b="16510"/>
                <wp:wrapNone/>
                <wp:docPr id="17" name="شريط إلى الأعلى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612648"/>
                        </a:xfrm>
                        <a:prstGeom prst="ribbon2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40000"/>
                                <a:satMod val="350000"/>
                              </a:srgbClr>
                            </a:gs>
                            <a:gs pos="40000">
                              <a:srgbClr val="1F497D">
                                <a:tint val="45000"/>
                                <a:shade val="99000"/>
                                <a:satMod val="350000"/>
                              </a:srgbClr>
                            </a:gs>
                            <a:gs pos="100000">
                              <a:srgbClr val="1F497D">
                                <a:shade val="20000"/>
                                <a:satMod val="255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5648" w:rsidRPr="00605F8B" w:rsidRDefault="00E95648" w:rsidP="00E95648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605F8B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المحاضرة الخامسة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C0E93F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شريط إلى الأعلى 17" o:spid="_x0000_s1027" type="#_x0000_t54" style="position:absolute;left:0;text-align:left;margin-left:-28.8pt;margin-top:-31.2pt;width:426pt;height:4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" adj=",18000" fillcolor="#bec9e5" strokecolor="#385d8a" strokeweight="2pt">
                <v:fill color2="#001a5e" rotate="t" focusposition=".5,-52429f" focussize="" colors="0 #bec9e5;26214f #b4c1e1;1 #001a5e" focus="100%" type="gradientRadial"/>
                <v:textbox>
                  <w:txbxContent>
                    <w:p w:rsidR="00E95648" w:rsidRPr="00605F8B" w:rsidRDefault="00E95648" w:rsidP="00E95648">
                      <w:pPr>
                        <w:jc w:val="center"/>
                        <w:rPr>
                          <w:color w:val="C00000"/>
                        </w:rPr>
                      </w:pPr>
                      <w:r w:rsidRPr="00605F8B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المحاضرة الخامسة</w:t>
                      </w:r>
                    </w:p>
                  </w:txbxContent>
                </v:textbox>
              </v:shape>
            </w:pict>
          </mc:Fallback>
        </mc:AlternateContent>
      </w:r>
    </w:p>
    <w:p w:rsidR="00E95648" w:rsidRPr="00E95648" w:rsidRDefault="00E95648" w:rsidP="00E95648">
      <w:pPr>
        <w:bidi/>
        <w:spacing w:after="200" w:line="360" w:lineRule="auto"/>
        <w:ind w:left="720"/>
        <w:jc w:val="both"/>
        <w:rPr>
          <w:rFonts w:ascii="Calibri" w:eastAsia="Calibri" w:hAnsi="Calibri" w:cs="Arial"/>
          <w:sz w:val="28"/>
          <w:szCs w:val="28"/>
          <w:lang w:bidi="ar-IQ"/>
        </w:rPr>
      </w:pPr>
    </w:p>
    <w:p w:rsidR="00E95648" w:rsidRPr="00E95648" w:rsidRDefault="00E95648" w:rsidP="00E95648">
      <w:pPr>
        <w:numPr>
          <w:ilvl w:val="0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E95648">
        <w:rPr>
          <w:rFonts w:ascii="Calibri" w:eastAsia="Calibri" w:hAnsi="Calibri" w:cs="Arial"/>
          <w:b/>
          <w:bCs/>
          <w:sz w:val="28"/>
          <w:szCs w:val="28"/>
          <w:rtl/>
        </w:rPr>
        <w:t>التركيب:</w:t>
      </w:r>
      <w:r w:rsidRPr="00E95648">
        <w:rPr>
          <w:rFonts w:ascii="Calibri" w:eastAsia="Calibri" w:hAnsi="Calibri" w:cs="Arial"/>
          <w:b/>
          <w:bCs/>
          <w:sz w:val="28"/>
          <w:szCs w:val="28"/>
        </w:rPr>
        <w:br/>
      </w:r>
      <w:r w:rsidRPr="00E95648">
        <w:rPr>
          <w:rFonts w:ascii="Calibri" w:eastAsia="Calibri" w:hAnsi="Calibri" w:cs="Arial"/>
          <w:sz w:val="28"/>
          <w:szCs w:val="28"/>
          <w:rtl/>
        </w:rPr>
        <w:t>جمع نتائج التحليل والاستنباط لتكوين صورة متكاملة للنص تُظهر وحدته الموضوعية والمعنوية</w:t>
      </w:r>
      <w:r w:rsidRPr="00E95648">
        <w:rPr>
          <w:rFonts w:ascii="Calibri" w:eastAsia="Calibri" w:hAnsi="Calibri" w:cs="Arial"/>
          <w:sz w:val="28"/>
          <w:szCs w:val="28"/>
        </w:rPr>
        <w:t>.</w:t>
      </w:r>
    </w:p>
    <w:p w:rsidR="00E95648" w:rsidRPr="00E95648" w:rsidRDefault="00E95648" w:rsidP="00E95648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E95648">
        <w:rPr>
          <w:rFonts w:ascii="Calibri" w:eastAsia="Calibri" w:hAnsi="Calibri" w:cs="Arial" w:hint="cs"/>
          <w:sz w:val="28"/>
          <w:szCs w:val="28"/>
          <w:rtl/>
        </w:rPr>
        <w:t xml:space="preserve">ولو طبقنا هذه النقطة على بعض أقوال أمير المؤمنين (عليه السلام) التي منها: </w:t>
      </w:r>
    </w:p>
    <w:p w:rsidR="00E95648" w:rsidRPr="00E95648" w:rsidRDefault="00E95648" w:rsidP="00E95648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 xml:space="preserve">قوله عليه السلام: </w:t>
      </w:r>
      <w:r w:rsidRPr="00E95648">
        <w:rPr>
          <w:rFonts w:ascii="Calibri" w:eastAsia="Calibri" w:hAnsi="Calibri" w:cs="Arial" w:hint="cs"/>
          <w:sz w:val="28"/>
          <w:szCs w:val="28"/>
          <w:rtl/>
        </w:rPr>
        <w:t>(</w:t>
      </w:r>
      <w:r w:rsidRPr="00E95648">
        <w:rPr>
          <w:rFonts w:ascii="Calibri" w:eastAsia="Calibri" w:hAnsi="Calibri" w:cs="Arial"/>
          <w:sz w:val="28"/>
          <w:szCs w:val="28"/>
          <w:rtl/>
        </w:rPr>
        <w:t>الدنيا دار فناء</w:t>
      </w:r>
      <w:r w:rsidRPr="00E95648">
        <w:rPr>
          <w:rFonts w:ascii="Calibri" w:eastAsia="Calibri" w:hAnsi="Calibri" w:cs="Arial" w:hint="cs"/>
          <w:sz w:val="28"/>
          <w:szCs w:val="28"/>
          <w:rtl/>
        </w:rPr>
        <w:t>).</w:t>
      </w:r>
    </w:p>
    <w:p w:rsidR="00E95648" w:rsidRPr="00E95648" w:rsidRDefault="00E95648" w:rsidP="00E95648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 xml:space="preserve">وقوله في موضع آخر: </w:t>
      </w:r>
      <w:r w:rsidRPr="00E95648">
        <w:rPr>
          <w:rFonts w:ascii="Calibri" w:eastAsia="Calibri" w:hAnsi="Calibri" w:cs="Arial" w:hint="cs"/>
          <w:sz w:val="28"/>
          <w:szCs w:val="28"/>
          <w:rtl/>
        </w:rPr>
        <w:t>(</w:t>
      </w:r>
      <w:r w:rsidRPr="00E95648">
        <w:rPr>
          <w:rFonts w:ascii="Calibri" w:eastAsia="Calibri" w:hAnsi="Calibri" w:cs="Arial"/>
          <w:sz w:val="28"/>
          <w:szCs w:val="28"/>
          <w:rtl/>
        </w:rPr>
        <w:t>تزودوا من الدنيا ما تحفظون به أنفسكم</w:t>
      </w:r>
      <w:r w:rsidRPr="00E95648">
        <w:rPr>
          <w:rFonts w:ascii="Calibri" w:eastAsia="Calibri" w:hAnsi="Calibri" w:cs="Arial" w:hint="cs"/>
          <w:sz w:val="28"/>
          <w:szCs w:val="28"/>
          <w:rtl/>
        </w:rPr>
        <w:t>).</w:t>
      </w:r>
    </w:p>
    <w:p w:rsidR="00E95648" w:rsidRPr="00E95648" w:rsidRDefault="00E95648" w:rsidP="00E95648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 xml:space="preserve">وقوله كذلك: </w:t>
      </w:r>
      <w:r w:rsidRPr="00E95648">
        <w:rPr>
          <w:rFonts w:ascii="Calibri" w:eastAsia="Calibri" w:hAnsi="Calibri" w:cs="Arial" w:hint="cs"/>
          <w:sz w:val="28"/>
          <w:szCs w:val="28"/>
          <w:rtl/>
        </w:rPr>
        <w:t>(</w:t>
      </w:r>
      <w:r w:rsidRPr="00E95648">
        <w:rPr>
          <w:rFonts w:ascii="Calibri" w:eastAsia="Calibri" w:hAnsi="Calibri" w:cs="Arial"/>
          <w:sz w:val="28"/>
          <w:szCs w:val="28"/>
          <w:rtl/>
        </w:rPr>
        <w:t>إن الدنيا والآخرة عدوّان متفاوتان، وسبيلان مختلفان</w:t>
      </w:r>
      <w:r w:rsidRPr="00E95648">
        <w:rPr>
          <w:rFonts w:ascii="Calibri" w:eastAsia="Calibri" w:hAnsi="Calibri" w:cs="Arial" w:hint="cs"/>
          <w:sz w:val="28"/>
          <w:szCs w:val="28"/>
          <w:rtl/>
        </w:rPr>
        <w:t>).</w:t>
      </w:r>
    </w:p>
    <w:p w:rsidR="00E95648" w:rsidRPr="00E95648" w:rsidRDefault="00E95648" w:rsidP="00E95648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>التحليل التركيبي:</w:t>
      </w:r>
    </w:p>
    <w:p w:rsidR="00E95648" w:rsidRPr="00E95648" w:rsidRDefault="00E95648" w:rsidP="00E95648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>بعد تفسير هذه النصوص واستنباط معانيها، يجمع الشارح بينها ليكوّن صورة فكرية متكاملة:</w:t>
      </w:r>
    </w:p>
    <w:p w:rsidR="00E95648" w:rsidRPr="00E95648" w:rsidRDefault="00E95648" w:rsidP="00E95648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>الإمام لا يدعو إلى ترك الدنيا، بل إلى التوازن بين الزهد والعمل، أي أن الدنيا وسيلة وليست غاية.</w:t>
      </w:r>
    </w:p>
    <w:p w:rsidR="00E95648" w:rsidRPr="00E95648" w:rsidRDefault="00E95648" w:rsidP="00E95648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>من خلال التركيب، تظهر الوحدة الموضوعية للفكر العلوي في رؤيته للدنيا:</w:t>
      </w:r>
    </w:p>
    <w:p w:rsidR="00E95648" w:rsidRPr="00E95648" w:rsidRDefault="00E95648" w:rsidP="00E95648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>الزهد ليس انقطاعًا، بل ضبط للعلاقة بين الإنسان والدنيا.</w:t>
      </w:r>
    </w:p>
    <w:p w:rsidR="00E95648" w:rsidRPr="00E95648" w:rsidRDefault="00E95648" w:rsidP="00E95648">
      <w:pPr>
        <w:bidi/>
        <w:spacing w:after="200" w:line="360" w:lineRule="auto"/>
        <w:ind w:left="360"/>
        <w:jc w:val="both"/>
        <w:rPr>
          <w:rFonts w:ascii="Calibri" w:eastAsia="Calibri" w:hAnsi="Calibri" w:cs="Arial"/>
          <w:sz w:val="28"/>
          <w:szCs w:val="28"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>وهكذا تتحول النصوص المتفرقة إلى منظومة فكرية واحدة متماسكة.</w:t>
      </w:r>
    </w:p>
    <w:p w:rsidR="00E95648" w:rsidRPr="00E95648" w:rsidRDefault="00E95648" w:rsidP="00E95648">
      <w:pPr>
        <w:numPr>
          <w:ilvl w:val="0"/>
          <w:numId w:val="4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</w:rPr>
      </w:pPr>
      <w:r w:rsidRPr="00E95648">
        <w:rPr>
          <w:rFonts w:ascii="Calibri" w:eastAsia="Calibri" w:hAnsi="Calibri" w:cs="Arial"/>
          <w:b/>
          <w:bCs/>
          <w:color w:val="FF0000"/>
          <w:sz w:val="28"/>
          <w:szCs w:val="28"/>
          <w:rtl/>
        </w:rPr>
        <w:t>خطوات المنهج التحليلي في دراسة نهج البلاغة:</w:t>
      </w:r>
    </w:p>
    <w:p w:rsidR="00E95648" w:rsidRPr="00E95648" w:rsidRDefault="00E95648" w:rsidP="00E95648">
      <w:pPr>
        <w:numPr>
          <w:ilvl w:val="0"/>
          <w:numId w:val="2"/>
        </w:num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>تحديد النص أو الخطبة موضوع الدراسة</w:t>
      </w:r>
      <w:r w:rsidRPr="00E95648">
        <w:rPr>
          <w:rFonts w:ascii="Calibri" w:eastAsia="Calibri" w:hAnsi="Calibri" w:cs="Arial"/>
          <w:sz w:val="28"/>
          <w:szCs w:val="28"/>
        </w:rPr>
        <w:t>.</w:t>
      </w:r>
    </w:p>
    <w:p w:rsidR="00E95648" w:rsidRPr="00E95648" w:rsidRDefault="00E95648" w:rsidP="00E95648">
      <w:pPr>
        <w:numPr>
          <w:ilvl w:val="0"/>
          <w:numId w:val="2"/>
        </w:num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>وضع فرضيات مبدئية تتعلق بمضمون النص أو بنيته</w:t>
      </w:r>
      <w:r w:rsidRPr="00E95648">
        <w:rPr>
          <w:rFonts w:ascii="Calibri" w:eastAsia="Calibri" w:hAnsi="Calibri" w:cs="Arial"/>
          <w:sz w:val="28"/>
          <w:szCs w:val="28"/>
        </w:rPr>
        <w:t>.</w:t>
      </w:r>
    </w:p>
    <w:p w:rsidR="00E95648" w:rsidRPr="00E95648" w:rsidRDefault="00E95648" w:rsidP="00E95648">
      <w:pPr>
        <w:numPr>
          <w:ilvl w:val="0"/>
          <w:numId w:val="2"/>
        </w:num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>تحليل الألفاظ والتراكيب والأساليب البلاغية</w:t>
      </w:r>
      <w:r w:rsidRPr="00E95648">
        <w:rPr>
          <w:rFonts w:ascii="Calibri" w:eastAsia="Calibri" w:hAnsi="Calibri" w:cs="Arial"/>
          <w:sz w:val="28"/>
          <w:szCs w:val="28"/>
        </w:rPr>
        <w:t>.</w:t>
      </w:r>
    </w:p>
    <w:p w:rsidR="00E95648" w:rsidRPr="00E95648" w:rsidRDefault="00E95648" w:rsidP="00E95648">
      <w:pPr>
        <w:numPr>
          <w:ilvl w:val="0"/>
          <w:numId w:val="2"/>
        </w:num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lastRenderedPageBreak/>
        <w:t>تفسير المعاني واستخراج الدلالات</w:t>
      </w:r>
      <w:r w:rsidRPr="00E95648">
        <w:rPr>
          <w:rFonts w:ascii="Calibri" w:eastAsia="Calibri" w:hAnsi="Calibri" w:cs="Arial"/>
          <w:sz w:val="28"/>
          <w:szCs w:val="28"/>
        </w:rPr>
        <w:t>.</w:t>
      </w:r>
    </w:p>
    <w:p w:rsidR="00E95648" w:rsidRPr="00E95648" w:rsidRDefault="00E95648" w:rsidP="00E95648">
      <w:pPr>
        <w:numPr>
          <w:ilvl w:val="0"/>
          <w:numId w:val="2"/>
        </w:num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>تركيب النتائج وتقديم الاستنتاج العام</w:t>
      </w:r>
      <w:r w:rsidRPr="00E95648">
        <w:rPr>
          <w:rFonts w:ascii="Calibri" w:eastAsia="Calibri" w:hAnsi="Calibri" w:cs="Arial"/>
          <w:sz w:val="28"/>
          <w:szCs w:val="28"/>
        </w:rPr>
        <w:t>.</w:t>
      </w:r>
    </w:p>
    <w:p w:rsidR="00E95648" w:rsidRPr="00E95648" w:rsidRDefault="00E95648" w:rsidP="00E95648">
      <w:pPr>
        <w:numPr>
          <w:ilvl w:val="0"/>
          <w:numId w:val="4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</w:rPr>
      </w:pPr>
      <w:r w:rsidRPr="00E95648">
        <w:rPr>
          <w:rFonts w:ascii="Calibri" w:eastAsia="Calibri" w:hAnsi="Calibri" w:cs="Arial"/>
          <w:b/>
          <w:bCs/>
          <w:color w:val="FF0000"/>
          <w:sz w:val="28"/>
          <w:szCs w:val="28"/>
          <w:rtl/>
        </w:rPr>
        <w:t>أهمية المنهج التحليلي في شرح نهج البلاغة:</w:t>
      </w:r>
    </w:p>
    <w:p w:rsidR="00E95648" w:rsidRPr="00E95648" w:rsidRDefault="00E95648" w:rsidP="00E95648">
      <w:pPr>
        <w:numPr>
          <w:ilvl w:val="0"/>
          <w:numId w:val="3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>يُعين الشارح على الغوص في أعماق النص لاكتشاف القيم الفكرية والجمالية</w:t>
      </w:r>
      <w:r w:rsidRPr="00E95648">
        <w:rPr>
          <w:rFonts w:ascii="Calibri" w:eastAsia="Calibri" w:hAnsi="Calibri" w:cs="Arial"/>
          <w:sz w:val="28"/>
          <w:szCs w:val="28"/>
        </w:rPr>
        <w:t>.</w:t>
      </w:r>
    </w:p>
    <w:p w:rsidR="00E95648" w:rsidRPr="00E95648" w:rsidRDefault="00E95648" w:rsidP="00E95648">
      <w:pPr>
        <w:numPr>
          <w:ilvl w:val="0"/>
          <w:numId w:val="3"/>
        </w:num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>يُبرز تماسك البناء البلاغي واللغوي في خطب الإمام</w:t>
      </w:r>
      <w:r w:rsidRPr="00E95648">
        <w:rPr>
          <w:rFonts w:ascii="Calibri" w:eastAsia="Calibri" w:hAnsi="Calibri" w:cs="Arial"/>
          <w:sz w:val="28"/>
          <w:szCs w:val="28"/>
        </w:rPr>
        <w:t>.</w:t>
      </w:r>
    </w:p>
    <w:p w:rsidR="00E95648" w:rsidRPr="00E95648" w:rsidRDefault="00E95648" w:rsidP="00E95648">
      <w:pPr>
        <w:numPr>
          <w:ilvl w:val="0"/>
          <w:numId w:val="3"/>
        </w:num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>يُمكّنه من المقارنة بين الأسلوب والمعنى، وبين الدال والمدلول</w:t>
      </w:r>
      <w:r w:rsidRPr="00E95648">
        <w:rPr>
          <w:rFonts w:ascii="Calibri" w:eastAsia="Calibri" w:hAnsi="Calibri" w:cs="Arial"/>
          <w:sz w:val="28"/>
          <w:szCs w:val="28"/>
        </w:rPr>
        <w:t>.</w:t>
      </w:r>
    </w:p>
    <w:p w:rsidR="00E95648" w:rsidRPr="00E95648" w:rsidRDefault="00E95648" w:rsidP="00E95648">
      <w:pPr>
        <w:numPr>
          <w:ilvl w:val="0"/>
          <w:numId w:val="3"/>
        </w:num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</w:rPr>
      </w:pPr>
      <w:r w:rsidRPr="00E95648">
        <w:rPr>
          <w:rFonts w:ascii="Calibri" w:eastAsia="Calibri" w:hAnsi="Calibri" w:cs="Arial"/>
          <w:sz w:val="28"/>
          <w:szCs w:val="28"/>
          <w:rtl/>
        </w:rPr>
        <w:t>يجعل الشرح أقرب إلى التحليل العلمي منه إلى التلخيص أو النقل</w:t>
      </w:r>
      <w:r w:rsidRPr="00E95648">
        <w:rPr>
          <w:rFonts w:ascii="Calibri" w:eastAsia="Calibri" w:hAnsi="Calibri" w:cs="Arial"/>
          <w:sz w:val="28"/>
          <w:szCs w:val="28"/>
        </w:rPr>
        <w:t>.</w:t>
      </w:r>
    </w:p>
    <w:p w:rsidR="00221A28" w:rsidRPr="00E95648" w:rsidRDefault="00221A28" w:rsidP="00E95648">
      <w:pPr>
        <w:bidi/>
        <w:rPr>
          <w:sz w:val="28"/>
          <w:szCs w:val="28"/>
        </w:rPr>
      </w:pPr>
      <w:bookmarkStart w:id="0" w:name="_GoBack"/>
      <w:bookmarkEnd w:id="0"/>
    </w:p>
    <w:sectPr w:rsidR="00221A28" w:rsidRPr="00E95648" w:rsidSect="00E95648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0ABA"/>
    <w:multiLevelType w:val="multilevel"/>
    <w:tmpl w:val="6E20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0450B"/>
    <w:multiLevelType w:val="multilevel"/>
    <w:tmpl w:val="128C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931D58"/>
    <w:multiLevelType w:val="multilevel"/>
    <w:tmpl w:val="9030F60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C71FE"/>
    <w:multiLevelType w:val="hybridMultilevel"/>
    <w:tmpl w:val="94A6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A6"/>
    <w:rsid w:val="00221A28"/>
    <w:rsid w:val="00E95648"/>
    <w:rsid w:val="00F2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89DD1-5D54-4EA5-B8A7-18B2D7C6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مركز ابو فاطمه</dc:creator>
  <cp:keywords/>
  <dc:description/>
  <cp:lastModifiedBy>مركز ابو فاطمه</cp:lastModifiedBy>
  <cp:revision>2</cp:revision>
  <dcterms:created xsi:type="dcterms:W3CDTF">2026-05-25T07:47:00Z</dcterms:created>
  <dcterms:modified xsi:type="dcterms:W3CDTF">2026-05-25T07:48:00Z</dcterms:modified>
</cp:coreProperties>
</file>