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F7" w:rsidRPr="00064AF7" w:rsidRDefault="00064AF7" w:rsidP="00064AF7">
      <w:pPr>
        <w:bidi/>
        <w:spacing w:after="200" w:line="360" w:lineRule="auto"/>
        <w:jc w:val="center"/>
        <w:rPr>
          <w:rFonts w:ascii="Calibri" w:eastAsia="Calibri" w:hAnsi="Calibri" w:cs="Arial"/>
          <w:b/>
          <w:bCs/>
          <w:color w:val="FF0000"/>
          <w:sz w:val="32"/>
          <w:szCs w:val="32"/>
          <w:rtl/>
        </w:rPr>
      </w:pPr>
    </w:p>
    <w:p w:rsidR="00064AF7" w:rsidRPr="00064AF7" w:rsidRDefault="00064AF7" w:rsidP="00064AF7">
      <w:pPr>
        <w:bidi/>
        <w:spacing w:after="200" w:line="360" w:lineRule="auto"/>
        <w:jc w:val="center"/>
        <w:rPr>
          <w:rFonts w:ascii="Calibri" w:eastAsia="Calibri" w:hAnsi="Calibri" w:cs="Arial"/>
          <w:b/>
          <w:bCs/>
          <w:color w:val="FF0000"/>
          <w:sz w:val="32"/>
          <w:szCs w:val="32"/>
          <w:rtl/>
        </w:rPr>
      </w:pPr>
      <w:r w:rsidRPr="00064AF7">
        <w:rPr>
          <w:rFonts w:ascii="Calibri" w:eastAsia="Calibri" w:hAnsi="Calibri" w:cs="Arial" w:hint="cs"/>
          <w:b/>
          <w:bCs/>
          <w:noProof/>
          <w:sz w:val="36"/>
          <w:szCs w:val="36"/>
          <w:rtl/>
        </w:rPr>
        <mc:AlternateContent>
          <mc:Choice Requires="wps">
            <w:drawing>
              <wp:anchor distT="0" distB="0" distL="114300" distR="114300" simplePos="0" relativeHeight="251660288" behindDoc="0" locked="0" layoutInCell="1" allowOverlap="1" wp14:anchorId="208663AC" wp14:editId="5EAA7BF9">
                <wp:simplePos x="0" y="0"/>
                <wp:positionH relativeFrom="column">
                  <wp:posOffset>1211580</wp:posOffset>
                </wp:positionH>
                <wp:positionV relativeFrom="paragraph">
                  <wp:posOffset>304800</wp:posOffset>
                </wp:positionV>
                <wp:extent cx="2819400" cy="403860"/>
                <wp:effectExtent l="0" t="0" r="19050" b="15240"/>
                <wp:wrapNone/>
                <wp:docPr id="26" name="مخطط انسيابي: معالجة 26"/>
                <wp:cNvGraphicFramePr/>
                <a:graphic xmlns:a="http://schemas.openxmlformats.org/drawingml/2006/main">
                  <a:graphicData uri="http://schemas.microsoft.com/office/word/2010/wordprocessingShape">
                    <wps:wsp>
                      <wps:cNvSpPr/>
                      <wps:spPr>
                        <a:xfrm>
                          <a:off x="0" y="0"/>
                          <a:ext cx="2819400" cy="40386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064AF7" w:rsidRPr="00064AF7" w:rsidRDefault="00064AF7" w:rsidP="00064AF7">
                            <w:pPr>
                              <w:jc w:val="center"/>
                              <w:rPr>
                                <w:color w:val="000000"/>
                              </w:rPr>
                            </w:pPr>
                            <w:r w:rsidRPr="00064AF7">
                              <w:rPr>
                                <w:rFonts w:cs="Arial"/>
                                <w:b/>
                                <w:bCs/>
                                <w:color w:val="000000"/>
                                <w:sz w:val="32"/>
                                <w:szCs w:val="32"/>
                                <w:rtl/>
                              </w:rPr>
                              <w:t>المنهج البرهاني العقلي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663AC" id="_x0000_t109" coordsize="21600,21600" o:spt="109" path="m,l,21600r21600,l21600,xe">
                <v:stroke joinstyle="miter"/>
                <v:path gradientshapeok="t" o:connecttype="rect"/>
              </v:shapetype>
              <v:shape id="مخطط انسيابي: معالجة 26" o:spid="_x0000_s1026" type="#_x0000_t109" style="position:absolute;left:0;text-align:left;margin-left:95.4pt;margin-top:24pt;width:222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" strokecolor="#385d8a" strokeweight="2pt">
                <v:fill color2="#959595" rotate="t" focusposition=".5,.5" focussize="" focus="100%" type="gradientRadial"/>
                <v:textbox>
                  <w:txbxContent>
                    <w:p w:rsidR="00064AF7" w:rsidRPr="00064AF7" w:rsidRDefault="00064AF7" w:rsidP="00064AF7">
                      <w:pPr>
                        <w:jc w:val="center"/>
                        <w:rPr>
                          <w:color w:val="000000"/>
                        </w:rPr>
                      </w:pPr>
                      <w:r w:rsidRPr="00064AF7">
                        <w:rPr>
                          <w:rFonts w:cs="Arial"/>
                          <w:b/>
                          <w:bCs/>
                          <w:color w:val="000000"/>
                          <w:sz w:val="32"/>
                          <w:szCs w:val="32"/>
                          <w:rtl/>
                        </w:rPr>
                        <w:t>المنهج البرهاني العقلي</w:t>
                      </w:r>
                    </w:p>
                  </w:txbxContent>
                </v:textbox>
              </v:shape>
            </w:pict>
          </mc:Fallback>
        </mc:AlternateContent>
      </w:r>
      <w:r w:rsidRPr="00064AF7">
        <w:rPr>
          <w:rFonts w:ascii="Calibri" w:eastAsia="Calibri" w:hAnsi="Calibri" w:cs="Arial"/>
          <w:b/>
          <w:bCs/>
          <w:noProof/>
          <w:color w:val="FF0000"/>
          <w:sz w:val="32"/>
          <w:szCs w:val="32"/>
          <w:rtl/>
        </w:rPr>
        <mc:AlternateContent>
          <mc:Choice Requires="wps">
            <w:drawing>
              <wp:anchor distT="0" distB="0" distL="114300" distR="114300" simplePos="0" relativeHeight="251659264" behindDoc="0" locked="0" layoutInCell="1" allowOverlap="1" wp14:anchorId="4D62EC07" wp14:editId="6705A9F3">
                <wp:simplePos x="0" y="0"/>
                <wp:positionH relativeFrom="column">
                  <wp:posOffset>-198120</wp:posOffset>
                </wp:positionH>
                <wp:positionV relativeFrom="paragraph">
                  <wp:posOffset>-373380</wp:posOffset>
                </wp:positionV>
                <wp:extent cx="5638800" cy="612648"/>
                <wp:effectExtent l="0" t="0" r="19050" b="16510"/>
                <wp:wrapNone/>
                <wp:docPr id="25" name="شريط إلى الأعلى 25"/>
                <wp:cNvGraphicFramePr/>
                <a:graphic xmlns:a="http://schemas.openxmlformats.org/drawingml/2006/main">
                  <a:graphicData uri="http://schemas.microsoft.com/office/word/2010/wordprocessingShape">
                    <wps:wsp>
                      <wps:cNvSpPr/>
                      <wps:spPr>
                        <a:xfrm>
                          <a:off x="0" y="0"/>
                          <a:ext cx="5638800" cy="612648"/>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064AF7" w:rsidRPr="004F5E41" w:rsidRDefault="00064AF7" w:rsidP="00064AF7">
                            <w:pPr>
                              <w:jc w:val="center"/>
                              <w:rPr>
                                <w:color w:val="C00000"/>
                              </w:rPr>
                            </w:pPr>
                            <w:r w:rsidRPr="004F5E41">
                              <w:rPr>
                                <w:rFonts w:cs="Arial" w:hint="cs"/>
                                <w:b/>
                                <w:bCs/>
                                <w:color w:val="C00000"/>
                                <w:sz w:val="36"/>
                                <w:szCs w:val="36"/>
                                <w:rtl/>
                              </w:rPr>
                              <w:t>المحاضرة التاسعة</w:t>
                            </w:r>
                          </w:p>
                          <w:p w:rsidR="00064AF7" w:rsidRDefault="00064AF7" w:rsidP="00064AF7">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62EC0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25" o:spid="_x0000_s1027" type="#_x0000_t54" style="position:absolute;left:0;text-align:left;margin-left:-15.6pt;margin-top:-29.4pt;width:444pt;height:4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" adj=",18000" fillcolor="#bec9e5" strokecolor="#385d8a" strokeweight="2pt">
                <v:fill color2="#001a5e" rotate="t" focusposition=".5,-52429f" focussize="" colors="0 #bec9e5;26214f #b4c1e1;1 #001a5e" focus="100%" type="gradientRadial"/>
                <v:textbox>
                  <w:txbxContent>
                    <w:p w:rsidR="00064AF7" w:rsidRPr="004F5E41" w:rsidRDefault="00064AF7" w:rsidP="00064AF7">
                      <w:pPr>
                        <w:jc w:val="center"/>
                        <w:rPr>
                          <w:color w:val="C00000"/>
                        </w:rPr>
                      </w:pPr>
                      <w:r w:rsidRPr="004F5E41">
                        <w:rPr>
                          <w:rFonts w:cs="Arial" w:hint="cs"/>
                          <w:b/>
                          <w:bCs/>
                          <w:color w:val="C00000"/>
                          <w:sz w:val="36"/>
                          <w:szCs w:val="36"/>
                          <w:rtl/>
                        </w:rPr>
                        <w:t>المحاضرة التاسعة</w:t>
                      </w:r>
                    </w:p>
                    <w:p w:rsidR="00064AF7" w:rsidRDefault="00064AF7" w:rsidP="00064AF7">
                      <w:pPr>
                        <w:jc w:val="center"/>
                      </w:pPr>
                    </w:p>
                  </w:txbxContent>
                </v:textbox>
              </v:shape>
            </w:pict>
          </mc:Fallback>
        </mc:AlternateContent>
      </w:r>
    </w:p>
    <w:p w:rsidR="00064AF7" w:rsidRPr="00064AF7" w:rsidRDefault="00064AF7" w:rsidP="00064AF7">
      <w:pPr>
        <w:tabs>
          <w:tab w:val="left" w:pos="1838"/>
          <w:tab w:val="center" w:pos="4153"/>
        </w:tabs>
        <w:bidi/>
        <w:spacing w:after="200" w:line="360" w:lineRule="auto"/>
        <w:rPr>
          <w:rFonts w:ascii="Calibri" w:eastAsia="Calibri" w:hAnsi="Calibri" w:cs="Arial"/>
          <w:b/>
          <w:bCs/>
          <w:sz w:val="36"/>
          <w:szCs w:val="36"/>
          <w:rtl/>
        </w:rPr>
      </w:pPr>
      <w:r w:rsidRPr="00064AF7">
        <w:rPr>
          <w:rFonts w:ascii="Calibri" w:eastAsia="Calibri" w:hAnsi="Calibri" w:cs="Arial"/>
          <w:b/>
          <w:bCs/>
          <w:sz w:val="36"/>
          <w:szCs w:val="36"/>
          <w:rtl/>
        </w:rPr>
        <w:tab/>
      </w:r>
    </w:p>
    <w:p w:rsidR="00064AF7" w:rsidRPr="00064AF7" w:rsidRDefault="00064AF7" w:rsidP="00064AF7">
      <w:pPr>
        <w:bidi/>
        <w:spacing w:after="200" w:line="360" w:lineRule="auto"/>
        <w:rPr>
          <w:rFonts w:ascii="Calibri" w:eastAsia="Calibri" w:hAnsi="Calibri" w:cs="Arial"/>
          <w:b/>
          <w:bCs/>
          <w:color w:val="FF0000"/>
          <w:sz w:val="32"/>
          <w:szCs w:val="32"/>
          <w:rtl/>
        </w:rPr>
      </w:pPr>
      <w:r w:rsidRPr="00064AF7">
        <w:rPr>
          <w:rFonts w:ascii="Calibri" w:eastAsia="Calibri" w:hAnsi="Calibri" w:cs="Arial"/>
          <w:b/>
          <w:bCs/>
          <w:color w:val="FF0000"/>
          <w:sz w:val="32"/>
          <w:szCs w:val="32"/>
          <w:rtl/>
        </w:rPr>
        <w:t>رابعاً: المنهج البرهاني العقلي</w:t>
      </w:r>
      <w:r w:rsidRPr="00064AF7">
        <w:rPr>
          <w:rFonts w:ascii="Calibri" w:eastAsia="Calibri" w:hAnsi="Calibri" w:cs="Arial" w:hint="cs"/>
          <w:b/>
          <w:bCs/>
          <w:color w:val="FF0000"/>
          <w:sz w:val="32"/>
          <w:szCs w:val="32"/>
          <w:rtl/>
        </w:rPr>
        <w:t>.</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تعريفه</w:t>
      </w:r>
      <w:r w:rsidRPr="00064AF7">
        <w:rPr>
          <w:rFonts w:ascii="Calibri" w:eastAsia="Calibri" w:hAnsi="Calibri" w:cs="Arial" w:hint="cs"/>
          <w:sz w:val="28"/>
          <w:szCs w:val="28"/>
          <w:rtl/>
        </w:rPr>
        <w:t>:</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لغةً: البرهان من "بَرْهَنَ" أي أظهر الحجّة وأوضحها، وهو الدليل البيّن القاطع.</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اصطلاحاً: هو المنهج الذي يعتمد على ترتيب المقدمات الصادقة ترتيبا منطقياً محكماً بحيث يُنتج حكماً يقينياً أو قريباً من اليقين، وفق قواعد الفكر السليم. ويُعدّ أعلى درجات الاستدلال العقلي في الدراسات الإنسانية والفلسفية.</w:t>
      </w:r>
    </w:p>
    <w:p w:rsidR="00064AF7" w:rsidRPr="00064AF7" w:rsidRDefault="00064AF7" w:rsidP="00064AF7">
      <w:pPr>
        <w:bidi/>
        <w:spacing w:after="200" w:line="360" w:lineRule="auto"/>
        <w:jc w:val="both"/>
        <w:rPr>
          <w:rFonts w:ascii="Calibri" w:eastAsia="Calibri" w:hAnsi="Calibri" w:cs="Arial"/>
          <w:b/>
          <w:bCs/>
          <w:color w:val="FF0000"/>
          <w:sz w:val="28"/>
          <w:szCs w:val="28"/>
          <w:rtl/>
        </w:rPr>
      </w:pPr>
      <w:r w:rsidRPr="00064AF7">
        <w:rPr>
          <w:rFonts w:ascii="Calibri" w:eastAsia="Calibri" w:hAnsi="Calibri" w:cs="Arial"/>
          <w:b/>
          <w:bCs/>
          <w:color w:val="FF0000"/>
          <w:sz w:val="28"/>
          <w:szCs w:val="28"/>
          <w:rtl/>
        </w:rPr>
        <w:t>طبيعة المنهج البرهاني</w:t>
      </w:r>
      <w:r w:rsidRPr="00064AF7">
        <w:rPr>
          <w:rFonts w:ascii="Calibri" w:eastAsia="Calibri" w:hAnsi="Calibri" w:cs="Arial" w:hint="cs"/>
          <w:b/>
          <w:bCs/>
          <w:color w:val="FF0000"/>
          <w:sz w:val="28"/>
          <w:szCs w:val="28"/>
          <w:rtl/>
        </w:rPr>
        <w:t>.</w:t>
      </w:r>
    </w:p>
    <w:p w:rsidR="00064AF7" w:rsidRPr="00064AF7" w:rsidRDefault="00064AF7" w:rsidP="00064AF7">
      <w:pPr>
        <w:numPr>
          <w:ilvl w:val="1"/>
          <w:numId w:val="1"/>
        </w:numPr>
        <w:bidi/>
        <w:spacing w:after="200" w:line="360" w:lineRule="auto"/>
        <w:contextualSpacing/>
        <w:jc w:val="both"/>
        <w:rPr>
          <w:rFonts w:ascii="Calibri" w:eastAsia="Calibri" w:hAnsi="Calibri" w:cs="Arial"/>
          <w:b/>
          <w:bCs/>
          <w:sz w:val="28"/>
          <w:szCs w:val="28"/>
        </w:rPr>
      </w:pPr>
      <w:r w:rsidRPr="00064AF7">
        <w:rPr>
          <w:rFonts w:ascii="Calibri" w:eastAsia="Calibri" w:hAnsi="Calibri" w:cs="Arial"/>
          <w:b/>
          <w:bCs/>
          <w:sz w:val="28"/>
          <w:szCs w:val="28"/>
          <w:rtl/>
        </w:rPr>
        <w:t>يتميّز هذا المنهج في الدراسات الفكرية والدينية بأنه يقوم على:</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 xml:space="preserve">الاعتماد على </w:t>
      </w:r>
      <w:r w:rsidRPr="00064AF7">
        <w:rPr>
          <w:rFonts w:ascii="Calibri" w:eastAsia="Calibri" w:hAnsi="Calibri" w:cs="Arial"/>
          <w:b/>
          <w:bCs/>
          <w:sz w:val="28"/>
          <w:szCs w:val="28"/>
          <w:rtl/>
        </w:rPr>
        <w:t>القواعد العقلية الكلّية الثابتة</w:t>
      </w:r>
      <w:r w:rsidRPr="00064AF7">
        <w:rPr>
          <w:rFonts w:ascii="Calibri" w:eastAsia="Calibri" w:hAnsi="Calibri" w:cs="Arial"/>
          <w:sz w:val="28"/>
          <w:szCs w:val="28"/>
          <w:rtl/>
        </w:rPr>
        <w:t>، مثل مبدأ السببية وعدم التناقض، وترتيب المقدمات الصادقة ترتيبًا منطقيًا محكمًا، بما يؤدّي إلى استنتاج نتائج يقينية أو قريبة من اليقين، بعيدًا عن الانفعال، أو التسليم بالتقليد، أو الاكتفاء بالانطباع</w:t>
      </w:r>
      <w:r w:rsidRPr="00064AF7">
        <w:rPr>
          <w:rFonts w:ascii="Calibri" w:eastAsia="Calibri" w:hAnsi="Calibri" w:cs="Arial"/>
          <w:sz w:val="28"/>
          <w:szCs w:val="28"/>
        </w:rPr>
        <w:t>.</w:t>
      </w:r>
    </w:p>
    <w:p w:rsidR="00064AF7" w:rsidRPr="00064AF7" w:rsidRDefault="00064AF7" w:rsidP="00064AF7">
      <w:pPr>
        <w:bidi/>
        <w:spacing w:after="200" w:line="360" w:lineRule="auto"/>
        <w:ind w:left="644"/>
        <w:contextualSpacing/>
        <w:jc w:val="both"/>
        <w:rPr>
          <w:rFonts w:ascii="Calibri" w:eastAsia="Calibri" w:hAnsi="Calibri" w:cs="Arial"/>
          <w:b/>
          <w:bCs/>
          <w:sz w:val="28"/>
          <w:szCs w:val="28"/>
          <w:rtl/>
        </w:rPr>
      </w:pPr>
      <w:r w:rsidRPr="00064AF7">
        <w:rPr>
          <w:rFonts w:ascii="Calibri" w:eastAsia="Calibri" w:hAnsi="Calibri" w:cs="Arial" w:hint="cs"/>
          <w:sz w:val="28"/>
          <w:szCs w:val="28"/>
          <w:rtl/>
        </w:rPr>
        <w:t>مثال:</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كل موجود حادث يحتاج إلى سبب.</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الكون متغيّر، وكل متغيّر حادث.</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النتيجة: إذن الكون يحتاج إلى سبب.</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الشرح:</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 xml:space="preserve">هذا مثال على برهان سببي يربط بين الموجود </w:t>
      </w:r>
      <w:r w:rsidRPr="00064AF7">
        <w:rPr>
          <w:rFonts w:ascii="Calibri" w:eastAsia="Calibri" w:hAnsi="Calibri" w:cs="Arial" w:hint="cs"/>
          <w:sz w:val="28"/>
          <w:szCs w:val="28"/>
          <w:rtl/>
        </w:rPr>
        <w:t>والسبب وفق</w:t>
      </w:r>
      <w:r w:rsidRPr="00064AF7">
        <w:rPr>
          <w:rFonts w:ascii="Calibri" w:eastAsia="Calibri" w:hAnsi="Calibri" w:cs="Arial"/>
          <w:sz w:val="28"/>
          <w:szCs w:val="28"/>
          <w:rtl/>
        </w:rPr>
        <w:t xml:space="preserve"> قاعدة عقلية: الحدوث </w:t>
      </w:r>
      <w:r w:rsidRPr="00064AF7">
        <w:rPr>
          <w:rFonts w:ascii="Cambria Math" w:eastAsia="Calibri" w:hAnsi="Cambria Math" w:cs="Cambria Math" w:hint="cs"/>
          <w:sz w:val="28"/>
          <w:szCs w:val="28"/>
          <w:rtl/>
        </w:rPr>
        <w:t>⇒</w:t>
      </w:r>
      <w:r w:rsidRPr="00064AF7">
        <w:rPr>
          <w:rFonts w:ascii="Calibri" w:eastAsia="Calibri" w:hAnsi="Calibri" w:cs="Arial"/>
          <w:sz w:val="28"/>
          <w:szCs w:val="28"/>
          <w:rtl/>
        </w:rPr>
        <w:t xml:space="preserve"> </w:t>
      </w:r>
      <w:r w:rsidRPr="00064AF7">
        <w:rPr>
          <w:rFonts w:ascii="Arial" w:eastAsia="Calibri" w:hAnsi="Arial" w:cs="Arial" w:hint="cs"/>
          <w:sz w:val="28"/>
          <w:szCs w:val="28"/>
          <w:rtl/>
        </w:rPr>
        <w:t>العلة</w:t>
      </w:r>
      <w:r w:rsidRPr="00064AF7">
        <w:rPr>
          <w:rFonts w:ascii="Calibri" w:eastAsia="Calibri" w:hAnsi="Calibri" w:cs="Arial"/>
          <w:sz w:val="28"/>
          <w:szCs w:val="28"/>
          <w:rtl/>
        </w:rPr>
        <w:t>.</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وهو أقصى نماذج الربط العقلاني بين السبب والنتيجة.</w:t>
      </w:r>
    </w:p>
    <w:p w:rsidR="00064AF7" w:rsidRPr="00064AF7" w:rsidRDefault="00064AF7" w:rsidP="00064AF7">
      <w:pPr>
        <w:numPr>
          <w:ilvl w:val="1"/>
          <w:numId w:val="1"/>
        </w:numPr>
        <w:bidi/>
        <w:spacing w:after="200" w:line="360" w:lineRule="auto"/>
        <w:contextualSpacing/>
        <w:jc w:val="both"/>
        <w:rPr>
          <w:rFonts w:ascii="Calibri" w:eastAsia="Calibri" w:hAnsi="Calibri" w:cs="Arial"/>
          <w:b/>
          <w:bCs/>
          <w:sz w:val="28"/>
          <w:szCs w:val="28"/>
          <w:rtl/>
        </w:rPr>
      </w:pPr>
      <w:r w:rsidRPr="00064AF7">
        <w:rPr>
          <w:rFonts w:ascii="Calibri" w:eastAsia="Calibri" w:hAnsi="Calibri" w:cs="Arial"/>
          <w:b/>
          <w:bCs/>
          <w:sz w:val="28"/>
          <w:szCs w:val="28"/>
          <w:rtl/>
        </w:rPr>
        <w:t>التحليل المنطقي البعيد عن الانفعال أو الانطباع</w:t>
      </w:r>
      <w:r w:rsidRPr="00064AF7">
        <w:rPr>
          <w:rFonts w:ascii="Calibri" w:eastAsia="Calibri" w:hAnsi="Calibri" w:cs="Arial" w:hint="cs"/>
          <w:b/>
          <w:bCs/>
          <w:sz w:val="28"/>
          <w:szCs w:val="28"/>
          <w:rtl/>
        </w:rPr>
        <w:t>، مثاله:</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lastRenderedPageBreak/>
        <w:t>يقال: “الأغلبية دائماً على صواب.”</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المنهج البرهاني يحلل الفكرة عقلًا:</w:t>
      </w:r>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Pr>
      </w:pPr>
      <w:r w:rsidRPr="00064AF7">
        <w:rPr>
          <w:rFonts w:ascii="Calibri" w:eastAsia="Calibri" w:hAnsi="Calibri" w:cs="Arial"/>
          <w:sz w:val="28"/>
          <w:szCs w:val="28"/>
          <w:rtl/>
        </w:rPr>
        <w:t>هل الكثرة دليل على الحقيقة؟</w:t>
      </w:r>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Pr>
      </w:pPr>
      <w:r w:rsidRPr="00064AF7">
        <w:rPr>
          <w:rFonts w:ascii="Calibri" w:eastAsia="Calibri" w:hAnsi="Calibri" w:cs="Arial"/>
          <w:sz w:val="28"/>
          <w:szCs w:val="28"/>
          <w:rtl/>
        </w:rPr>
        <w:t>هل سبق أن اتفقت الأغلبية على خطأ؟ نعم (تاريخياً في العلم والفكر).</w:t>
      </w:r>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tl/>
        </w:rPr>
      </w:pPr>
      <w:r w:rsidRPr="00064AF7">
        <w:rPr>
          <w:rFonts w:ascii="Calibri" w:eastAsia="Calibri" w:hAnsi="Calibri" w:cs="Arial"/>
          <w:sz w:val="28"/>
          <w:szCs w:val="28"/>
          <w:rtl/>
        </w:rPr>
        <w:t>إذن العدد ليس معياراً للصواب.</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النتيجة:</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الحكم لا يُبنى على العدد، بل على البرهان.</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الشرح:</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هنا يتدخّل العقل لتحليل المبدأ ذاته، لا الظاهرة، وهو جوهر البرهان العقلي.</w:t>
      </w:r>
    </w:p>
    <w:p w:rsidR="00064AF7" w:rsidRPr="00064AF7" w:rsidRDefault="00064AF7" w:rsidP="00064AF7">
      <w:pPr>
        <w:numPr>
          <w:ilvl w:val="1"/>
          <w:numId w:val="1"/>
        </w:numPr>
        <w:bidi/>
        <w:spacing w:after="200" w:line="360" w:lineRule="auto"/>
        <w:contextualSpacing/>
        <w:jc w:val="both"/>
        <w:rPr>
          <w:rFonts w:ascii="Calibri" w:eastAsia="Calibri" w:hAnsi="Calibri" w:cs="Arial"/>
          <w:b/>
          <w:bCs/>
          <w:sz w:val="28"/>
          <w:szCs w:val="28"/>
        </w:rPr>
      </w:pPr>
      <w:r w:rsidRPr="00064AF7">
        <w:rPr>
          <w:rFonts w:ascii="Calibri" w:eastAsia="Calibri" w:hAnsi="Calibri" w:cs="Arial"/>
          <w:b/>
          <w:bCs/>
          <w:sz w:val="28"/>
          <w:szCs w:val="28"/>
          <w:rtl/>
        </w:rPr>
        <w:t xml:space="preserve"> ردّ الجزئيات إلى كليات عامة</w:t>
      </w:r>
      <w:r w:rsidRPr="00064AF7">
        <w:rPr>
          <w:rFonts w:ascii="Calibri" w:eastAsia="Calibri" w:hAnsi="Calibri" w:cs="Arial" w:hint="cs"/>
          <w:b/>
          <w:bCs/>
          <w:sz w:val="28"/>
          <w:szCs w:val="28"/>
          <w:rtl/>
        </w:rPr>
        <w:t>، مثاله:</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كل الأخلاق الإنسانية ترتكز على منع الضرر.</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كل القوانين العادلة تهدف إلى حماية الإنسان من الأذى.</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الاستنتاج العقلي:</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تتكرر القاعدة:</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“مبدأ عدم الإضرار قانون عقلي كلي يحكم السلوك.”</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الشرح:</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هذا مثال على الانتقال من الوقائع الجزئية إلى قانون إنساني عام، وهو عمل منهجي برهاني.</w:t>
      </w:r>
    </w:p>
    <w:p w:rsidR="00064AF7" w:rsidRPr="00064AF7" w:rsidRDefault="00064AF7" w:rsidP="00064AF7">
      <w:pPr>
        <w:numPr>
          <w:ilvl w:val="1"/>
          <w:numId w:val="1"/>
        </w:numPr>
        <w:bidi/>
        <w:spacing w:after="200" w:line="360" w:lineRule="auto"/>
        <w:contextualSpacing/>
        <w:jc w:val="both"/>
        <w:rPr>
          <w:rFonts w:ascii="Calibri" w:eastAsia="Calibri" w:hAnsi="Calibri" w:cs="Arial"/>
          <w:b/>
          <w:bCs/>
          <w:sz w:val="28"/>
          <w:szCs w:val="28"/>
          <w:rtl/>
        </w:rPr>
      </w:pPr>
      <w:r w:rsidRPr="00064AF7">
        <w:rPr>
          <w:rFonts w:ascii="Calibri" w:eastAsia="Calibri" w:hAnsi="Calibri" w:cs="Arial"/>
          <w:b/>
          <w:bCs/>
          <w:sz w:val="28"/>
          <w:szCs w:val="28"/>
          <w:rtl/>
        </w:rPr>
        <w:t>بناء حجّة عقلية متماسكة</w:t>
      </w:r>
      <w:r w:rsidRPr="00064AF7">
        <w:rPr>
          <w:rFonts w:ascii="Calibri" w:eastAsia="Calibri" w:hAnsi="Calibri" w:cs="Arial" w:hint="cs"/>
          <w:b/>
          <w:bCs/>
          <w:sz w:val="28"/>
          <w:szCs w:val="28"/>
          <w:rtl/>
        </w:rPr>
        <w:t>، مثاله:</w:t>
      </w:r>
    </w:p>
    <w:p w:rsidR="00064AF7" w:rsidRPr="00064AF7" w:rsidRDefault="00064AF7" w:rsidP="00064AF7">
      <w:pPr>
        <w:bidi/>
        <w:spacing w:after="200" w:line="360" w:lineRule="auto"/>
        <w:ind w:left="792"/>
        <w:contextualSpacing/>
        <w:jc w:val="both"/>
        <w:rPr>
          <w:rFonts w:ascii="Calibri" w:eastAsia="Calibri" w:hAnsi="Calibri" w:cs="Arial"/>
          <w:sz w:val="28"/>
          <w:szCs w:val="28"/>
          <w:rtl/>
        </w:rPr>
      </w:pPr>
      <w:r w:rsidRPr="00064AF7">
        <w:rPr>
          <w:rFonts w:ascii="Calibri" w:eastAsia="Calibri" w:hAnsi="Calibri" w:cs="Arial"/>
          <w:sz w:val="28"/>
          <w:szCs w:val="28"/>
          <w:rtl/>
        </w:rPr>
        <w:t>المعرفة تتطلب إمكانية التحقق.</w:t>
      </w:r>
    </w:p>
    <w:p w:rsidR="00064AF7" w:rsidRPr="00064AF7" w:rsidRDefault="00064AF7" w:rsidP="00064AF7">
      <w:pPr>
        <w:bidi/>
        <w:spacing w:after="200" w:line="360" w:lineRule="auto"/>
        <w:ind w:left="792"/>
        <w:contextualSpacing/>
        <w:jc w:val="both"/>
        <w:rPr>
          <w:rFonts w:ascii="Calibri" w:eastAsia="Calibri" w:hAnsi="Calibri" w:cs="Arial"/>
          <w:sz w:val="28"/>
          <w:szCs w:val="28"/>
          <w:rtl/>
        </w:rPr>
      </w:pPr>
      <w:r w:rsidRPr="00064AF7">
        <w:rPr>
          <w:rFonts w:ascii="Calibri" w:eastAsia="Calibri" w:hAnsi="Calibri" w:cs="Arial"/>
          <w:sz w:val="28"/>
          <w:szCs w:val="28"/>
          <w:rtl/>
        </w:rPr>
        <w:t>الادعاءات التي لا يمكن التحقق منها لا يمكن تصنيفها كمعرفة.</w:t>
      </w:r>
    </w:p>
    <w:p w:rsidR="00064AF7" w:rsidRPr="00064AF7" w:rsidRDefault="00064AF7" w:rsidP="00064AF7">
      <w:pPr>
        <w:bidi/>
        <w:spacing w:after="200" w:line="360" w:lineRule="auto"/>
        <w:ind w:left="792"/>
        <w:contextualSpacing/>
        <w:jc w:val="both"/>
        <w:rPr>
          <w:rFonts w:ascii="Calibri" w:eastAsia="Calibri" w:hAnsi="Calibri" w:cs="Arial"/>
          <w:sz w:val="28"/>
          <w:szCs w:val="28"/>
          <w:rtl/>
        </w:rPr>
      </w:pPr>
      <w:r w:rsidRPr="00064AF7">
        <w:rPr>
          <w:rFonts w:ascii="Calibri" w:eastAsia="Calibri" w:hAnsi="Calibri" w:cs="Arial"/>
          <w:sz w:val="28"/>
          <w:szCs w:val="28"/>
          <w:rtl/>
        </w:rPr>
        <w:t>الرأي المبني على التقليد لا يمكن التحقق منه ذاتياً.</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النتيجة:</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hint="cs"/>
          <w:sz w:val="28"/>
          <w:szCs w:val="28"/>
          <w:rtl/>
        </w:rPr>
        <w:t xml:space="preserve">       </w:t>
      </w:r>
      <w:r w:rsidRPr="00064AF7">
        <w:rPr>
          <w:rFonts w:ascii="Calibri" w:eastAsia="Calibri" w:hAnsi="Calibri" w:cs="Arial"/>
          <w:sz w:val="28"/>
          <w:szCs w:val="28"/>
          <w:rtl/>
        </w:rPr>
        <w:t>الرأي المبني على التقليد ليس معرفة، بل تصوّر غير مبرهَن.</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lastRenderedPageBreak/>
        <w:t>الشرح:</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هذه حجة كاملة تتكون من مقدمات مستقلة تتساند لإنتاج نتيجة عقلية واضحة.</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وهذا يمثل أعلى مراحل بناء البرهان المنطقي.</w:t>
      </w:r>
    </w:p>
    <w:p w:rsidR="00064AF7" w:rsidRPr="00064AF7" w:rsidRDefault="00064AF7" w:rsidP="00064AF7">
      <w:pPr>
        <w:bidi/>
        <w:spacing w:after="200" w:line="360" w:lineRule="auto"/>
        <w:jc w:val="both"/>
        <w:rPr>
          <w:rFonts w:ascii="Calibri" w:eastAsia="Calibri" w:hAnsi="Calibri" w:cs="Arial"/>
          <w:b/>
          <w:bCs/>
          <w:sz w:val="28"/>
          <w:szCs w:val="28"/>
          <w:rtl/>
        </w:rPr>
      </w:pPr>
      <w:r w:rsidRPr="00064AF7">
        <w:rPr>
          <w:rFonts w:ascii="Calibri" w:eastAsia="Calibri" w:hAnsi="Calibri" w:cs="Arial"/>
          <w:b/>
          <w:bCs/>
          <w:sz w:val="28"/>
          <w:szCs w:val="28"/>
          <w:rtl/>
        </w:rPr>
        <w:t>5- دراسة النصوص والقضايا بعقل نقدي يرفض التلقي السلبي</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مثال برهاني متقدم:</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جملة مشهورة: “التاريخ يكتبه المنتصرون.”</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العقل البرهاني يتساءل:</w:t>
      </w:r>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Pr>
      </w:pPr>
      <w:r w:rsidRPr="00064AF7">
        <w:rPr>
          <w:rFonts w:ascii="Calibri" w:eastAsia="Calibri" w:hAnsi="Calibri" w:cs="Arial"/>
          <w:sz w:val="28"/>
          <w:szCs w:val="28"/>
          <w:rtl/>
        </w:rPr>
        <w:t>هل كون التاريخ مكتوبًا من المنتصر كافٍ لاعتبار روايته غير موثوقة</w:t>
      </w:r>
      <w:r w:rsidRPr="00064AF7">
        <w:rPr>
          <w:rFonts w:ascii="Calibri" w:eastAsia="Calibri" w:hAnsi="Calibri" w:cs="Arial" w:hint="cs"/>
          <w:sz w:val="28"/>
          <w:szCs w:val="28"/>
          <w:rtl/>
        </w:rPr>
        <w:t>؟</w:t>
      </w:r>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Pr>
      </w:pPr>
      <w:r w:rsidRPr="00064AF7">
        <w:rPr>
          <w:rFonts w:ascii="Calibri" w:eastAsia="Calibri" w:hAnsi="Calibri" w:cs="Arial"/>
          <w:sz w:val="28"/>
          <w:szCs w:val="28"/>
          <w:rtl/>
        </w:rPr>
        <w:t xml:space="preserve">هل يوجد تاريخ كتبه مهزومون أو </w:t>
      </w:r>
      <w:proofErr w:type="gramStart"/>
      <w:r w:rsidRPr="00064AF7">
        <w:rPr>
          <w:rFonts w:ascii="Calibri" w:eastAsia="Calibri" w:hAnsi="Calibri" w:cs="Arial"/>
          <w:sz w:val="28"/>
          <w:szCs w:val="28"/>
          <w:rtl/>
        </w:rPr>
        <w:t>محايدون؟.</w:t>
      </w:r>
      <w:proofErr w:type="gramEnd"/>
    </w:p>
    <w:p w:rsidR="00064AF7" w:rsidRPr="00064AF7" w:rsidRDefault="00064AF7" w:rsidP="00064AF7">
      <w:pPr>
        <w:numPr>
          <w:ilvl w:val="0"/>
          <w:numId w:val="2"/>
        </w:numPr>
        <w:bidi/>
        <w:spacing w:after="200" w:line="360" w:lineRule="auto"/>
        <w:contextualSpacing/>
        <w:jc w:val="both"/>
        <w:rPr>
          <w:rFonts w:ascii="Calibri" w:eastAsia="Calibri" w:hAnsi="Calibri" w:cs="Arial"/>
          <w:sz w:val="28"/>
          <w:szCs w:val="28"/>
          <w:rtl/>
        </w:rPr>
      </w:pPr>
      <w:r w:rsidRPr="00064AF7">
        <w:rPr>
          <w:rFonts w:ascii="Calibri" w:eastAsia="Calibri" w:hAnsi="Calibri" w:cs="Arial"/>
          <w:sz w:val="28"/>
          <w:szCs w:val="28"/>
          <w:rtl/>
        </w:rPr>
        <w:t>هل التوثيق العلمي يخضع لمنهج مستقل؟ نعم (المقارنة – النقد – التحليل – القرائن).</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النتيجة:</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القول بأن “التاريخ كله منحاز” غير صحيح، لأنه حكم عام بمدلول جزئي.</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الشرح:</w:t>
      </w:r>
    </w:p>
    <w:p w:rsidR="00064AF7" w:rsidRPr="00064AF7" w:rsidRDefault="00064AF7" w:rsidP="00064AF7">
      <w:pPr>
        <w:bidi/>
        <w:spacing w:after="200" w:line="360" w:lineRule="auto"/>
        <w:jc w:val="both"/>
        <w:rPr>
          <w:rFonts w:ascii="Calibri" w:eastAsia="Calibri" w:hAnsi="Calibri" w:cs="Arial"/>
          <w:sz w:val="28"/>
          <w:szCs w:val="28"/>
          <w:rtl/>
        </w:rPr>
      </w:pPr>
      <w:r w:rsidRPr="00064AF7">
        <w:rPr>
          <w:rFonts w:ascii="Calibri" w:eastAsia="Calibri" w:hAnsi="Calibri" w:cs="Arial"/>
          <w:sz w:val="28"/>
          <w:szCs w:val="28"/>
          <w:rtl/>
        </w:rPr>
        <w:t>هذا نقد عقلي لخطاب شائع، يقوم على كشف الخلل في التعميم، وهو جوهر المنهج البرهاني.</w:t>
      </w:r>
    </w:p>
    <w:p w:rsidR="00221A28" w:rsidRPr="00064AF7" w:rsidRDefault="00221A28" w:rsidP="00064AF7">
      <w:pPr>
        <w:bidi/>
        <w:rPr>
          <w:sz w:val="28"/>
          <w:szCs w:val="28"/>
        </w:rPr>
      </w:pPr>
      <w:bookmarkStart w:id="0" w:name="_GoBack"/>
      <w:bookmarkEnd w:id="0"/>
    </w:p>
    <w:sectPr w:rsidR="00221A28" w:rsidRPr="00064AF7" w:rsidSect="00064AF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18A3"/>
    <w:multiLevelType w:val="hybridMultilevel"/>
    <w:tmpl w:val="2190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0310D"/>
    <w:multiLevelType w:val="multilevel"/>
    <w:tmpl w:val="32425E58"/>
    <w:lvl w:ilvl="0">
      <w:start w:val="1"/>
      <w:numFmt w:val="decimal"/>
      <w:lvlText w:val="%1."/>
      <w:lvlJc w:val="left"/>
      <w:pPr>
        <w:tabs>
          <w:tab w:val="num" w:pos="720"/>
        </w:tabs>
        <w:ind w:left="720" w:hanging="360"/>
      </w:pPr>
    </w:lvl>
    <w:lvl w:ilvl="1">
      <w:start w:val="1"/>
      <w:numFmt w:val="decimal"/>
      <w:lvlText w:val="%2-"/>
      <w:lvlJc w:val="left"/>
      <w:pPr>
        <w:ind w:left="644"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08"/>
    <w:rsid w:val="00064AF7"/>
    <w:rsid w:val="00221A28"/>
    <w:rsid w:val="00547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7192A-59C4-4A98-A12C-19C4F85D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2026-05-25T07:54:00Z</dcterms:created>
  <dcterms:modified xsi:type="dcterms:W3CDTF">2026-05-25T07:55:00Z</dcterms:modified>
</cp:coreProperties>
</file>