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7131DD" w:rsidRPr="007131DD" w:rsidRDefault="007131DD" w:rsidP="007131DD">
      <w:pPr>
        <w:bidi/>
        <w:spacing w:after="200" w:line="360" w:lineRule="auto"/>
        <w:jc w:val="center"/>
        <w:rPr>
          <w:rFonts w:ascii="Calibri" w:eastAsia="Calibri" w:hAnsi="Calibri" w:cs="Arial"/>
          <w:b/>
          <w:bCs/>
          <w:sz w:val="36"/>
          <w:szCs w:val="36"/>
          <w:rtl/>
          <w:lang w:bidi="ar-IQ"/>
        </w:rPr>
      </w:pPr>
      <w:r w:rsidRPr="007131DD">
        <w:rPr>
          <w:rFonts w:ascii="Calibri" w:eastAsia="Calibri" w:hAnsi="Calibri" w:cs="Arial" w:hint="cs"/>
          <w:b/>
          <w:bCs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87303" wp14:editId="4400E540">
                <wp:simplePos x="0" y="0"/>
                <wp:positionH relativeFrom="column">
                  <wp:posOffset>1120140</wp:posOffset>
                </wp:positionH>
                <wp:positionV relativeFrom="paragraph">
                  <wp:posOffset>304800</wp:posOffset>
                </wp:positionV>
                <wp:extent cx="2705100" cy="497840"/>
                <wp:effectExtent l="0" t="0" r="19050" b="16510"/>
                <wp:wrapNone/>
                <wp:docPr id="22" name="مخطط انسيابي: معالجة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97840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ysClr val="window" lastClr="FFFFFF">
                                <a:tint val="80000"/>
                                <a:satMod val="300000"/>
                              </a:sysClr>
                            </a:gs>
                            <a:gs pos="100000">
                              <a:sysClr val="window" lastClr="FFFFFF">
                                <a:shade val="30000"/>
                                <a:satMod val="200000"/>
                              </a:sys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1DD" w:rsidRPr="007131DD" w:rsidRDefault="007131DD" w:rsidP="007131DD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7131DD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فوائد المنهج الاستقرائي وأهميته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87303" id="_x0000_t109" coordsize="21600,21600" o:spt="109" path="m,l,21600r21600,l21600,xe">
                <v:stroke joinstyle="miter"/>
                <v:path gradientshapeok="t" o:connecttype="rect"/>
              </v:shapetype>
              <v:shape id="مخطط انسيابي: معالجة 22" o:spid="_x0000_s1026" type="#_x0000_t109" style="position:absolute;left:0;text-align:left;margin-left:88.2pt;margin-top:24pt;width:213pt;height: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" strokecolor="#385d8a" strokeweight="2pt">
                <v:fill color2="#959595" rotate="t" focusposition=".5,.5" focussize="" focus="100%" type="gradientRadial"/>
                <v:textbox>
                  <w:txbxContent>
                    <w:p w:rsidR="007131DD" w:rsidRPr="007131DD" w:rsidRDefault="007131DD" w:rsidP="007131DD">
                      <w:pPr>
                        <w:jc w:val="center"/>
                        <w:rPr>
                          <w:color w:val="000000"/>
                        </w:rPr>
                      </w:pPr>
                      <w:r w:rsidRPr="007131DD">
                        <w:rPr>
                          <w:b/>
                          <w:bCs/>
                          <w:color w:val="000000"/>
                          <w:sz w:val="28"/>
                          <w:szCs w:val="28"/>
                          <w:rtl/>
                        </w:rPr>
                        <w:t>فوائد المنهج الاستقرائي وأهميته</w:t>
                      </w:r>
                    </w:p>
                  </w:txbxContent>
                </v:textbox>
              </v:shape>
            </w:pict>
          </mc:Fallback>
        </mc:AlternateContent>
      </w:r>
      <w:r w:rsidRPr="007131DD">
        <w:rPr>
          <w:rFonts w:ascii="Calibri" w:eastAsia="Calibri" w:hAnsi="Calibri" w:cs="Arial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793B3" wp14:editId="2D9A36DC">
                <wp:simplePos x="0" y="0"/>
                <wp:positionH relativeFrom="column">
                  <wp:posOffset>-320040</wp:posOffset>
                </wp:positionH>
                <wp:positionV relativeFrom="paragraph">
                  <wp:posOffset>-419100</wp:posOffset>
                </wp:positionV>
                <wp:extent cx="5570220" cy="612648"/>
                <wp:effectExtent l="0" t="0" r="11430" b="16510"/>
                <wp:wrapNone/>
                <wp:docPr id="21" name="شريط إلى الأعلى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0220" cy="612648"/>
                        </a:xfrm>
                        <a:prstGeom prst="ribbon2">
                          <a:avLst/>
                        </a:prstGeom>
                        <a:gradFill rotWithShape="1">
                          <a:gsLst>
                            <a:gs pos="0">
                              <a:srgbClr val="1F497D">
                                <a:tint val="40000"/>
                                <a:satMod val="350000"/>
                              </a:srgbClr>
                            </a:gs>
                            <a:gs pos="40000">
                              <a:srgbClr val="1F497D">
                                <a:tint val="45000"/>
                                <a:shade val="99000"/>
                                <a:satMod val="350000"/>
                              </a:srgbClr>
                            </a:gs>
                            <a:gs pos="100000">
                              <a:srgbClr val="1F497D">
                                <a:shade val="20000"/>
                                <a:satMod val="255000"/>
                              </a:srgbClr>
                            </a:gs>
                          </a:gsLst>
                          <a:path path="circle">
                            <a:fillToRect l="50000" t="-80000" r="50000" b="180000"/>
                          </a:path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131DD" w:rsidRPr="00605F8B" w:rsidRDefault="007131DD" w:rsidP="007131DD">
                            <w:pPr>
                              <w:jc w:val="center"/>
                              <w:rPr>
                                <w:color w:val="C00000"/>
                              </w:rPr>
                            </w:pPr>
                            <w:r w:rsidRPr="00605F8B">
                              <w:rPr>
                                <w:rFonts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  <w:lang w:bidi="ar-IQ"/>
                              </w:rPr>
                              <w:t>المحاضرة السابعة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6793B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شريط إلى الأعلى 21" o:spid="_x0000_s1027" type="#_x0000_t54" style="position:absolute;left:0;text-align:left;margin-left:-25.2pt;margin-top:-33pt;width:438.6pt;height:4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" adj=",18000" fillcolor="#bec9e5" strokecolor="#385d8a" strokeweight="2pt">
                <v:fill color2="#001a5e" rotate="t" focusposition=".5,-52429f" focussize="" colors="0 #bec9e5;26214f #b4c1e1;1 #001a5e" focus="100%" type="gradientRadial"/>
                <v:textbox>
                  <w:txbxContent>
                    <w:p w:rsidR="007131DD" w:rsidRPr="00605F8B" w:rsidRDefault="007131DD" w:rsidP="007131DD">
                      <w:pPr>
                        <w:jc w:val="center"/>
                        <w:rPr>
                          <w:color w:val="C00000"/>
                        </w:rPr>
                      </w:pPr>
                      <w:r w:rsidRPr="00605F8B">
                        <w:rPr>
                          <w:rFonts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  <w:lang w:bidi="ar-IQ"/>
                        </w:rPr>
                        <w:t>المحاضرة السابعة</w:t>
                      </w:r>
                    </w:p>
                  </w:txbxContent>
                </v:textbox>
              </v:shape>
            </w:pict>
          </mc:Fallback>
        </mc:AlternateContent>
      </w:r>
    </w:p>
    <w:p w:rsidR="007131DD" w:rsidRPr="007131DD" w:rsidRDefault="007131DD" w:rsidP="007131DD">
      <w:pPr>
        <w:bidi/>
        <w:spacing w:after="200" w:line="360" w:lineRule="auto"/>
        <w:ind w:left="720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</w:p>
    <w:p w:rsidR="007131DD" w:rsidRPr="007131DD" w:rsidRDefault="007131DD" w:rsidP="007131DD">
      <w:pPr>
        <w:numPr>
          <w:ilvl w:val="0"/>
          <w:numId w:val="2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t>فوائد المنهج الاستقرائي وأهميته</w:t>
      </w:r>
      <w:r w:rsidRPr="007131D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IQ"/>
        </w:rPr>
        <w:t>.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إنّ اتباع المنهج الاستقرائي في البحث والشرح يُحقق جملة من الفوائد العلمية والمنهجية، من أبرزها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توسيع آفاق الملاحظة العلمية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إذ يُنمّي في الباحث روح التأمل والنظر، ويُدرّبه على تتبع الظواهر وتحليل جزئياتها للوصول إلى صورة كلية دقيقة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تنمية المهارات البحثية والعقلية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فالعمل الاستقرائي يربّي الباحث على الدقة، والصبر، والقدرة على التحليل والتركيب، مما يجعله أكثر تمكناً في التعامل مع النصوص المعقدة كنهج البلاغة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توليد المعرفة الجديدة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إذ يمكن للباحث من خلال الاستقراء أن يكتشف قوانين ومفاهيم لم تكن مصاغة من قبل، فيسهم بذلك في تطوير المعرفة وإغناء الفكر الإسلامي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تحقيق توازن بين النقل والعقل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فالاستقراء يجعل الباحث لا يكتفي بنقل الروايات أو الآراء، بل يحاكمها في ضوء الملاحظة والاستنتاج العقلي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تعميم النتائج واستشراف المستقبل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لأن دراسة النماذج الجزئية تعطي تصوّراً عاماً يمكن إسقاطه على قضايا جديدة مشابهة، مما يساعد على بناء رؤية مستقبلية في الفكر الإسلامي والاجتماعي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7131DD" w:rsidRPr="007131DD" w:rsidRDefault="007131DD" w:rsidP="007131DD">
      <w:pPr>
        <w:numPr>
          <w:ilvl w:val="0"/>
          <w:numId w:val="2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color w:val="FF0000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color w:val="FF0000"/>
          <w:sz w:val="28"/>
          <w:szCs w:val="28"/>
          <w:rtl/>
        </w:rPr>
        <w:lastRenderedPageBreak/>
        <w:t>مراحل وخطوات المنهج الاستقرائي</w:t>
      </w:r>
      <w:r w:rsidRPr="007131DD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المنهج الاستقرائي ليس مساراً عشوائياً، بل هو عملية منظمة تمر بعدة مراحل علمية، من أهمها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الملاحظة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وهي الأساس الأول في كل عملية استقرائية، وفيها يقوم الباحث بمراقبة الظاهرة أو النصوص التي يدرسها، وتحليل مكوّناتها وظروفها وأسبابها ونتائجها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وتنقسم الملاحظة إلى نوعين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numPr>
          <w:ilvl w:val="0"/>
          <w:numId w:val="2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 xml:space="preserve">ملاحظة </w:t>
      </w:r>
      <w:proofErr w:type="gramStart"/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عفوية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 xml:space="preserve"> </w:t>
      </w:r>
      <w:r w:rsidRPr="007131DD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Pr="007131DD">
        <w:rPr>
          <w:rFonts w:ascii="Calibri" w:eastAsia="Calibri" w:hAnsi="Calibri" w:cs="Arial"/>
          <w:sz w:val="28"/>
          <w:szCs w:val="28"/>
          <w:rtl/>
        </w:rPr>
        <w:t>تنشأ</w:t>
      </w:r>
      <w:proofErr w:type="gramEnd"/>
      <w:r w:rsidRPr="007131DD">
        <w:rPr>
          <w:rFonts w:ascii="Calibri" w:eastAsia="Calibri" w:hAnsi="Calibri" w:cs="Arial"/>
          <w:sz w:val="28"/>
          <w:szCs w:val="28"/>
          <w:rtl/>
        </w:rPr>
        <w:t xml:space="preserve"> من التأمل العفوي غير المقصود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0"/>
          <w:numId w:val="2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 xml:space="preserve">ملاحظة مقصودة </w:t>
      </w:r>
      <w:proofErr w:type="gramStart"/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ومدروسة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 xml:space="preserve"> :</w:t>
      </w:r>
      <w:proofErr w:type="gramEnd"/>
      <w:r w:rsidRPr="007131DD">
        <w:rPr>
          <w:rFonts w:ascii="Calibri" w:eastAsia="Calibri" w:hAnsi="Calibri" w:cs="Arial"/>
          <w:sz w:val="28"/>
          <w:szCs w:val="28"/>
          <w:lang w:bidi="ar-IQ"/>
        </w:rPr>
        <w:t xml:space="preserve"> </w:t>
      </w:r>
      <w:r w:rsidRPr="007131DD">
        <w:rPr>
          <w:rFonts w:ascii="Calibri" w:eastAsia="Calibri" w:hAnsi="Calibri" w:cs="Arial"/>
          <w:sz w:val="28"/>
          <w:szCs w:val="28"/>
          <w:rtl/>
        </w:rPr>
        <w:t>تعتمد على قصد علمي مسبق، يجمع فيها الباحث البيانات ويضع فرضيات حولها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صياغة الفرضيات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وهي الخطوة التي يُعبّر فيها الباحث عن تصوره الأولي للظاهرة، من خلال وضع فرضيات تفسّر ما لاحظه، ثم اختبارها لاحقاً بالتحليل أو التجربة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 xml:space="preserve"> </w:t>
      </w: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التجربة والتحقق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وهي مرحلة اختبار الفرضيات عملياً أو فكرياً، بالمقارنة بين النتائج والمقدمات، وتحليل الثوابت والمتغيرات، واستنتاج القواعد العامة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وفي الدراسات النصية، يمكن اعتبار “التجربة” هي تطبيق المنهج على نصوص جديدة للتحقق من صدق القاعدة المستنبطة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التحليل والتركيب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وفيها يقوم الباحث بتفكيك الظواهر وتحليل عناصرها، ثم إعادة تركيب النتائج في صورة قانون عام أو قاعدة فكرية متكاملة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7131DD" w:rsidRPr="007131DD" w:rsidRDefault="007131DD" w:rsidP="007131DD">
      <w:pPr>
        <w:numPr>
          <w:ilvl w:val="0"/>
          <w:numId w:val="3"/>
        </w:numPr>
        <w:bidi/>
        <w:spacing w:after="200" w:line="360" w:lineRule="auto"/>
        <w:contextualSpacing/>
        <w:jc w:val="both"/>
        <w:rPr>
          <w:rFonts w:ascii="Calibri" w:eastAsia="Calibri" w:hAnsi="Calibri" w:cs="Arial"/>
          <w:b/>
          <w:bCs/>
          <w:sz w:val="28"/>
          <w:szCs w:val="28"/>
          <w:lang w:bidi="ar-IQ"/>
        </w:rPr>
      </w:pP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 xml:space="preserve"> </w:t>
      </w:r>
      <w:r w:rsidRPr="007131DD">
        <w:rPr>
          <w:rFonts w:ascii="Calibri" w:eastAsia="Calibri" w:hAnsi="Calibri" w:cs="Arial"/>
          <w:b/>
          <w:bCs/>
          <w:sz w:val="28"/>
          <w:szCs w:val="28"/>
          <w:rtl/>
        </w:rPr>
        <w:t>النتائج والبرهان</w:t>
      </w:r>
      <w:r w:rsidRPr="007131DD">
        <w:rPr>
          <w:rFonts w:ascii="Calibri" w:eastAsia="Calibri" w:hAnsi="Calibri" w:cs="Arial"/>
          <w:b/>
          <w:bCs/>
          <w:sz w:val="28"/>
          <w:szCs w:val="28"/>
          <w:lang w:bidi="ar-IQ"/>
        </w:rPr>
        <w:t>:</w:t>
      </w:r>
    </w:p>
    <w:p w:rsidR="007131DD" w:rsidRPr="007131DD" w:rsidRDefault="007131DD" w:rsidP="007131DD">
      <w:pPr>
        <w:bidi/>
        <w:spacing w:after="200" w:line="360" w:lineRule="auto"/>
        <w:jc w:val="both"/>
        <w:rPr>
          <w:rFonts w:ascii="Calibri" w:eastAsia="Calibri" w:hAnsi="Calibri" w:cs="Arial"/>
          <w:sz w:val="28"/>
          <w:szCs w:val="28"/>
          <w:rtl/>
          <w:lang w:bidi="ar-IQ"/>
        </w:rPr>
      </w:pPr>
      <w:r w:rsidRPr="007131DD">
        <w:rPr>
          <w:rFonts w:ascii="Calibri" w:eastAsia="Calibri" w:hAnsi="Calibri" w:cs="Arial"/>
          <w:sz w:val="28"/>
          <w:szCs w:val="28"/>
          <w:rtl/>
        </w:rPr>
        <w:t>وفي هذه المرحلة يتم عرض النتائج النهائية وتقديم الأدلة التي تؤيدها، مع بيان مدى انطباقها على الظواهر الأخرى</w:t>
      </w:r>
      <w:r w:rsidRPr="007131DD">
        <w:rPr>
          <w:rFonts w:ascii="Calibri" w:eastAsia="Calibri" w:hAnsi="Calibri" w:cs="Arial"/>
          <w:sz w:val="28"/>
          <w:szCs w:val="28"/>
          <w:lang w:bidi="ar-IQ"/>
        </w:rPr>
        <w:t>.</w:t>
      </w:r>
    </w:p>
    <w:p w:rsidR="00221A28" w:rsidRPr="007131DD" w:rsidRDefault="00221A28" w:rsidP="007131DD">
      <w:pPr>
        <w:bidi/>
        <w:rPr>
          <w:sz w:val="28"/>
          <w:szCs w:val="28"/>
          <w:lang w:bidi="ar-IQ"/>
        </w:rPr>
      </w:pPr>
      <w:bookmarkStart w:id="0" w:name="_GoBack"/>
      <w:bookmarkEnd w:id="0"/>
    </w:p>
    <w:sectPr w:rsidR="00221A28" w:rsidRPr="007131DD" w:rsidSect="007131DD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0450B"/>
    <w:multiLevelType w:val="multilevel"/>
    <w:tmpl w:val="128CF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D5175F"/>
    <w:multiLevelType w:val="hybridMultilevel"/>
    <w:tmpl w:val="69EAD5EA"/>
    <w:lvl w:ilvl="0" w:tplc="61E89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A00F55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C71FE"/>
    <w:multiLevelType w:val="hybridMultilevel"/>
    <w:tmpl w:val="94A61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93"/>
    <w:rsid w:val="00221A28"/>
    <w:rsid w:val="00373793"/>
    <w:rsid w:val="0071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31AD4C-FE2D-4039-BE68-BDE488B8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مركز ابو فاطمه</dc:creator>
  <cp:keywords/>
  <dc:description/>
  <cp:lastModifiedBy>مركز ابو فاطمه</cp:lastModifiedBy>
  <cp:revision>2</cp:revision>
  <dcterms:created xsi:type="dcterms:W3CDTF">2026-05-25T07:51:00Z</dcterms:created>
  <dcterms:modified xsi:type="dcterms:W3CDTF">2026-05-25T07:52:00Z</dcterms:modified>
</cp:coreProperties>
</file>