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98" w:rsidRPr="00813898" w:rsidRDefault="00813898" w:rsidP="00813898">
      <w:pPr>
        <w:bidi/>
        <w:spacing w:after="200" w:line="360" w:lineRule="auto"/>
        <w:ind w:left="720"/>
        <w:jc w:val="center"/>
        <w:rPr>
          <w:rFonts w:ascii="Arial" w:eastAsia="Calibri" w:hAnsi="Arial" w:cs="Arial"/>
          <w:b/>
          <w:bCs/>
          <w:sz w:val="36"/>
          <w:szCs w:val="36"/>
          <w:rtl/>
        </w:rPr>
      </w:pPr>
    </w:p>
    <w:p w:rsidR="00813898" w:rsidRPr="00813898" w:rsidRDefault="00813898" w:rsidP="00813898">
      <w:pPr>
        <w:bidi/>
        <w:spacing w:after="200" w:line="360" w:lineRule="auto"/>
        <w:ind w:left="720"/>
        <w:jc w:val="center"/>
        <w:rPr>
          <w:rFonts w:ascii="Arial" w:eastAsia="Calibri" w:hAnsi="Arial" w:cs="Arial"/>
          <w:b/>
          <w:bCs/>
          <w:sz w:val="36"/>
          <w:szCs w:val="36"/>
          <w:rtl/>
          <w:lang w:bidi="ar-IQ"/>
        </w:rPr>
      </w:pPr>
    </w:p>
    <w:p w:rsidR="00813898" w:rsidRPr="00813898" w:rsidRDefault="00813898" w:rsidP="00813898">
      <w:pPr>
        <w:bidi/>
        <w:spacing w:after="200" w:line="360" w:lineRule="auto"/>
        <w:ind w:left="720"/>
        <w:jc w:val="center"/>
        <w:rPr>
          <w:rFonts w:ascii="Arial" w:eastAsia="Calibri" w:hAnsi="Arial" w:cs="Arial"/>
          <w:b/>
          <w:bCs/>
          <w:sz w:val="36"/>
          <w:szCs w:val="36"/>
          <w:rtl/>
        </w:rPr>
      </w:pPr>
      <w:r w:rsidRPr="00813898">
        <w:rPr>
          <w:rFonts w:ascii="Arial" w:eastAsia="Calibri" w:hAnsi="Arial" w:cs="Arial" w:hint="cs"/>
          <w:b/>
          <w:bCs/>
          <w:noProof/>
          <w:color w:val="FF0000"/>
          <w:sz w:val="28"/>
          <w:szCs w:val="28"/>
        </w:rPr>
        <mc:AlternateContent>
          <mc:Choice Requires="wps">
            <w:drawing>
              <wp:anchor distT="0" distB="0" distL="114300" distR="114300" simplePos="0" relativeHeight="251660288" behindDoc="0" locked="0" layoutInCell="1" allowOverlap="1" wp14:anchorId="70927C8C" wp14:editId="3EC0ED10">
                <wp:simplePos x="0" y="0"/>
                <wp:positionH relativeFrom="column">
                  <wp:posOffset>1104900</wp:posOffset>
                </wp:positionH>
                <wp:positionV relativeFrom="paragraph">
                  <wp:posOffset>373380</wp:posOffset>
                </wp:positionV>
                <wp:extent cx="2567940" cy="388620"/>
                <wp:effectExtent l="0" t="0" r="22860" b="11430"/>
                <wp:wrapNone/>
                <wp:docPr id="34" name="مخطط انسيابي: معالجة 34"/>
                <wp:cNvGraphicFramePr/>
                <a:graphic xmlns:a="http://schemas.openxmlformats.org/drawingml/2006/main">
                  <a:graphicData uri="http://schemas.microsoft.com/office/word/2010/wordprocessingShape">
                    <wps:wsp>
                      <wps:cNvSpPr/>
                      <wps:spPr>
                        <a:xfrm>
                          <a:off x="0" y="0"/>
                          <a:ext cx="2567940" cy="388620"/>
                        </a:xfrm>
                        <a:prstGeom prst="flowChartProcess">
                          <a:avLst/>
                        </a:prstGeom>
                        <a:gradFill rotWithShape="1">
                          <a:gsLst>
                            <a:gs pos="0">
                              <a:sysClr val="window" lastClr="FFFFFF">
                                <a:tint val="80000"/>
                                <a:satMod val="300000"/>
                              </a:sysClr>
                            </a:gs>
                            <a:gs pos="100000">
                              <a:sysClr val="window" lastClr="FFFFFF">
                                <a:shade val="30000"/>
                                <a:satMod val="200000"/>
                              </a:sysClr>
                            </a:gs>
                          </a:gsLst>
                          <a:path path="circle">
                            <a:fillToRect l="50000" t="50000" r="50000" b="50000"/>
                          </a:path>
                        </a:gradFill>
                        <a:ln w="25400" cap="flat" cmpd="sng" algn="ctr">
                          <a:solidFill>
                            <a:srgbClr val="4F81BD">
                              <a:shade val="50000"/>
                            </a:srgbClr>
                          </a:solidFill>
                          <a:prstDash val="solid"/>
                        </a:ln>
                        <a:effectLst/>
                      </wps:spPr>
                      <wps:txbx>
                        <w:txbxContent>
                          <w:p w:rsidR="00813898" w:rsidRPr="00813898" w:rsidRDefault="00813898" w:rsidP="00813898">
                            <w:pPr>
                              <w:jc w:val="center"/>
                              <w:rPr>
                                <w:color w:val="000000"/>
                              </w:rPr>
                            </w:pPr>
                            <w:r w:rsidRPr="00813898">
                              <w:rPr>
                                <w:rFonts w:ascii="Arial" w:hAnsi="Arial"/>
                                <w:b/>
                                <w:bCs/>
                                <w:color w:val="000000"/>
                                <w:sz w:val="28"/>
                                <w:szCs w:val="28"/>
                                <w:rtl/>
                              </w:rPr>
                              <w:t>الرد على الشبهات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27C8C" id="_x0000_t109" coordsize="21600,21600" o:spt="109" path="m,l,21600r21600,l21600,xe">
                <v:stroke joinstyle="miter"/>
                <v:path gradientshapeok="t" o:connecttype="rect"/>
              </v:shapetype>
              <v:shape id="مخطط انسيابي: معالجة 34" o:spid="_x0000_s1026" type="#_x0000_t109" style="position:absolute;left:0;text-align:left;margin-left:87pt;margin-top:29.4pt;width:202.2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" strokecolor="#385d8a" strokeweight="2pt">
                <v:fill color2="#959595" rotate="t" focusposition=".5,.5" focussize="" focus="100%" type="gradientRadial"/>
                <v:textbox>
                  <w:txbxContent>
                    <w:p w:rsidR="00813898" w:rsidRPr="00813898" w:rsidRDefault="00813898" w:rsidP="00813898">
                      <w:pPr>
                        <w:jc w:val="center"/>
                        <w:rPr>
                          <w:color w:val="000000"/>
                        </w:rPr>
                      </w:pPr>
                      <w:r w:rsidRPr="00813898">
                        <w:rPr>
                          <w:rFonts w:ascii="Arial" w:hAnsi="Arial"/>
                          <w:b/>
                          <w:bCs/>
                          <w:color w:val="000000"/>
                          <w:sz w:val="28"/>
                          <w:szCs w:val="28"/>
                          <w:rtl/>
                        </w:rPr>
                        <w:t>الرد على الشبهات</w:t>
                      </w:r>
                    </w:p>
                  </w:txbxContent>
                </v:textbox>
              </v:shape>
            </w:pict>
          </mc:Fallback>
        </mc:AlternateContent>
      </w:r>
      <w:r w:rsidRPr="00813898">
        <w:rPr>
          <w:rFonts w:ascii="Arial" w:eastAsia="Calibri" w:hAnsi="Arial" w:cs="Arial" w:hint="cs"/>
          <w:b/>
          <w:bCs/>
          <w:noProof/>
          <w:sz w:val="36"/>
          <w:szCs w:val="36"/>
          <w:rtl/>
        </w:rPr>
        <mc:AlternateContent>
          <mc:Choice Requires="wps">
            <w:drawing>
              <wp:anchor distT="0" distB="0" distL="114300" distR="114300" simplePos="0" relativeHeight="251659264" behindDoc="0" locked="0" layoutInCell="1" allowOverlap="1" wp14:anchorId="0A534F5D" wp14:editId="39186061">
                <wp:simplePos x="0" y="0"/>
                <wp:positionH relativeFrom="column">
                  <wp:posOffset>-312420</wp:posOffset>
                </wp:positionH>
                <wp:positionV relativeFrom="paragraph">
                  <wp:posOffset>-304800</wp:posOffset>
                </wp:positionV>
                <wp:extent cx="5364480" cy="558800"/>
                <wp:effectExtent l="0" t="0" r="26670" b="12700"/>
                <wp:wrapNone/>
                <wp:docPr id="33" name="شريط إلى الأعلى 33"/>
                <wp:cNvGraphicFramePr/>
                <a:graphic xmlns:a="http://schemas.openxmlformats.org/drawingml/2006/main">
                  <a:graphicData uri="http://schemas.microsoft.com/office/word/2010/wordprocessingShape">
                    <wps:wsp>
                      <wps:cNvSpPr/>
                      <wps:spPr>
                        <a:xfrm>
                          <a:off x="0" y="0"/>
                          <a:ext cx="5364480" cy="558800"/>
                        </a:xfrm>
                        <a:prstGeom prst="ribbon2">
                          <a:avLst/>
                        </a:prstGeom>
                        <a:gradFill rotWithShape="1">
                          <a:gsLst>
                            <a:gs pos="0">
                              <a:srgbClr val="1F497D">
                                <a:tint val="40000"/>
                                <a:satMod val="350000"/>
                              </a:srgbClr>
                            </a:gs>
                            <a:gs pos="40000">
                              <a:srgbClr val="1F497D">
                                <a:tint val="45000"/>
                                <a:shade val="99000"/>
                                <a:satMod val="350000"/>
                              </a:srgbClr>
                            </a:gs>
                            <a:gs pos="100000">
                              <a:srgbClr val="1F497D">
                                <a:shade val="20000"/>
                                <a:satMod val="255000"/>
                              </a:srgbClr>
                            </a:gs>
                          </a:gsLst>
                          <a:path path="circle">
                            <a:fillToRect l="50000" t="-80000" r="50000" b="180000"/>
                          </a:path>
                        </a:gradFill>
                        <a:ln w="25400" cap="flat" cmpd="sng" algn="ctr">
                          <a:solidFill>
                            <a:srgbClr val="4F81BD">
                              <a:shade val="50000"/>
                            </a:srgbClr>
                          </a:solidFill>
                          <a:prstDash val="solid"/>
                        </a:ln>
                        <a:effectLst/>
                      </wps:spPr>
                      <wps:txbx>
                        <w:txbxContent>
                          <w:p w:rsidR="00813898" w:rsidRPr="00A0362E" w:rsidRDefault="00813898" w:rsidP="00813898">
                            <w:pPr>
                              <w:jc w:val="center"/>
                              <w:rPr>
                                <w:color w:val="C00000"/>
                                <w:sz w:val="36"/>
                                <w:szCs w:val="36"/>
                              </w:rPr>
                            </w:pPr>
                            <w:r w:rsidRPr="00A0362E">
                              <w:rPr>
                                <w:rFonts w:cs="Arial"/>
                                <w:color w:val="C00000"/>
                                <w:sz w:val="36"/>
                                <w:szCs w:val="36"/>
                                <w:rtl/>
                              </w:rPr>
                              <w:t>المحاضرة الثالثة عشر</w:t>
                            </w:r>
                            <w:r w:rsidRPr="00A0362E">
                              <w:rPr>
                                <w:rFonts w:hint="cs"/>
                                <w:color w:val="C00000"/>
                                <w:sz w:val="36"/>
                                <w:szCs w:val="36"/>
                                <w:rtl/>
                              </w:rPr>
                              <w:t>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34F5D"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33" o:spid="_x0000_s1027" type="#_x0000_t54" style="position:absolute;left:0;text-align:left;margin-left:-24.6pt;margin-top:-24pt;width:422.4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" adj=",18000" fillcolor="#bec9e5" strokecolor="#385d8a" strokeweight="2pt">
                <v:fill color2="#001a5e" rotate="t" focusposition=".5,-52429f" focussize="" colors="0 #bec9e5;26214f #b4c1e1;1 #001a5e" focus="100%" type="gradientRadial"/>
                <v:textbox>
                  <w:txbxContent>
                    <w:p w:rsidR="00813898" w:rsidRPr="00A0362E" w:rsidRDefault="00813898" w:rsidP="00813898">
                      <w:pPr>
                        <w:jc w:val="center"/>
                        <w:rPr>
                          <w:color w:val="C00000"/>
                          <w:sz w:val="36"/>
                          <w:szCs w:val="36"/>
                        </w:rPr>
                      </w:pPr>
                      <w:r w:rsidRPr="00A0362E">
                        <w:rPr>
                          <w:rFonts w:cs="Arial"/>
                          <w:color w:val="C00000"/>
                          <w:sz w:val="36"/>
                          <w:szCs w:val="36"/>
                          <w:rtl/>
                        </w:rPr>
                        <w:t>المحاضرة الثالثة عشر</w:t>
                      </w:r>
                      <w:r w:rsidRPr="00A0362E">
                        <w:rPr>
                          <w:rFonts w:hint="cs"/>
                          <w:color w:val="C00000"/>
                          <w:sz w:val="36"/>
                          <w:szCs w:val="36"/>
                          <w:rtl/>
                        </w:rPr>
                        <w:t>ة</w:t>
                      </w:r>
                    </w:p>
                  </w:txbxContent>
                </v:textbox>
              </v:shape>
            </w:pict>
          </mc:Fallback>
        </mc:AlternateContent>
      </w:r>
    </w:p>
    <w:p w:rsidR="00813898" w:rsidRPr="00813898" w:rsidRDefault="00813898" w:rsidP="00813898">
      <w:pPr>
        <w:bidi/>
        <w:spacing w:after="200" w:line="360" w:lineRule="auto"/>
        <w:ind w:left="720"/>
        <w:contextualSpacing/>
        <w:jc w:val="both"/>
        <w:rPr>
          <w:rFonts w:ascii="Arial" w:eastAsia="Calibri" w:hAnsi="Arial" w:cs="Arial"/>
          <w:b/>
          <w:bCs/>
          <w:color w:val="FF0000"/>
          <w:sz w:val="28"/>
          <w:szCs w:val="28"/>
        </w:rPr>
      </w:pPr>
    </w:p>
    <w:p w:rsidR="00813898" w:rsidRPr="00813898" w:rsidRDefault="00813898" w:rsidP="00813898">
      <w:pPr>
        <w:numPr>
          <w:ilvl w:val="0"/>
          <w:numId w:val="2"/>
        </w:numPr>
        <w:bidi/>
        <w:spacing w:after="200" w:line="360" w:lineRule="auto"/>
        <w:contextualSpacing/>
        <w:jc w:val="both"/>
        <w:rPr>
          <w:rFonts w:ascii="Arial" w:eastAsia="Calibri" w:hAnsi="Arial" w:cs="Arial"/>
          <w:b/>
          <w:bCs/>
          <w:color w:val="FF0000"/>
          <w:sz w:val="28"/>
          <w:szCs w:val="28"/>
        </w:rPr>
      </w:pPr>
      <w:r w:rsidRPr="00813898">
        <w:rPr>
          <w:rFonts w:ascii="Arial" w:eastAsia="Calibri" w:hAnsi="Arial" w:cs="Arial"/>
          <w:b/>
          <w:bCs/>
          <w:color w:val="FF0000"/>
          <w:sz w:val="28"/>
          <w:szCs w:val="28"/>
          <w:rtl/>
        </w:rPr>
        <w:t>الرد على الشبهات:</w:t>
      </w:r>
    </w:p>
    <w:p w:rsidR="00813898" w:rsidRPr="00813898" w:rsidRDefault="00813898" w:rsidP="00813898">
      <w:pPr>
        <w:numPr>
          <w:ilvl w:val="0"/>
          <w:numId w:val="1"/>
        </w:numPr>
        <w:bidi/>
        <w:spacing w:after="200" w:line="360" w:lineRule="auto"/>
        <w:contextualSpacing/>
        <w:jc w:val="both"/>
        <w:rPr>
          <w:rFonts w:ascii="Arial" w:eastAsia="Calibri" w:hAnsi="Arial" w:cs="Arial"/>
          <w:b/>
          <w:bCs/>
          <w:sz w:val="28"/>
          <w:szCs w:val="28"/>
        </w:rPr>
      </w:pPr>
      <w:r w:rsidRPr="00813898">
        <w:rPr>
          <w:rFonts w:ascii="Arial" w:eastAsia="Calibri" w:hAnsi="Arial" w:cs="Arial"/>
          <w:sz w:val="28"/>
          <w:szCs w:val="28"/>
        </w:rPr>
        <w:t xml:space="preserve"> </w:t>
      </w:r>
      <w:r w:rsidRPr="00813898">
        <w:rPr>
          <w:rFonts w:ascii="Arial" w:eastAsia="Calibri" w:hAnsi="Arial" w:cs="Arial"/>
          <w:b/>
          <w:bCs/>
          <w:sz w:val="28"/>
          <w:szCs w:val="28"/>
          <w:rtl/>
        </w:rPr>
        <w:t>خلو المصادر من كثير مما في النهج.</w:t>
      </w:r>
    </w:p>
    <w:p w:rsidR="00813898" w:rsidRPr="00813898" w:rsidRDefault="00813898" w:rsidP="00813898">
      <w:pPr>
        <w:bidi/>
        <w:spacing w:after="200" w:line="360" w:lineRule="auto"/>
        <w:jc w:val="both"/>
        <w:rPr>
          <w:rFonts w:ascii="Arial" w:eastAsia="Calibri" w:hAnsi="Arial" w:cs="Arial"/>
          <w:sz w:val="28"/>
          <w:szCs w:val="28"/>
        </w:rPr>
      </w:pPr>
      <w:r w:rsidRPr="00813898">
        <w:rPr>
          <w:rFonts w:ascii="Arial" w:eastAsia="Calibri" w:hAnsi="Arial" w:cs="Arial"/>
          <w:sz w:val="28"/>
          <w:szCs w:val="28"/>
          <w:rtl/>
        </w:rPr>
        <w:t>لا يعدّ ذلك دليلاً، لأن الشريف الرضي نصّ في كتبه على جمعه لكلام الإمام، مثل</w:t>
      </w:r>
      <w:r w:rsidRPr="00813898">
        <w:rPr>
          <w:rFonts w:ascii="Arial" w:eastAsia="Calibri" w:hAnsi="Arial" w:cs="Arial"/>
          <w:sz w:val="28"/>
          <w:szCs w:val="28"/>
        </w:rPr>
        <w:t>:</w:t>
      </w:r>
      <w:r w:rsidRPr="00813898">
        <w:rPr>
          <w:rFonts w:ascii="Arial" w:eastAsia="Calibri" w:hAnsi="Arial" w:cs="Arial"/>
          <w:sz w:val="28"/>
          <w:szCs w:val="28"/>
        </w:rPr>
        <w:br/>
        <w:t xml:space="preserve"> </w:t>
      </w:r>
      <w:r w:rsidRPr="00813898">
        <w:rPr>
          <w:rFonts w:ascii="Arial" w:eastAsia="Calibri" w:hAnsi="Arial" w:cs="Arial" w:hint="cs"/>
          <w:sz w:val="28"/>
          <w:szCs w:val="28"/>
          <w:rtl/>
        </w:rPr>
        <w:t>(</w:t>
      </w:r>
      <w:r w:rsidRPr="00813898">
        <w:rPr>
          <w:rFonts w:ascii="Arial" w:eastAsia="Calibri" w:hAnsi="Arial" w:cs="Arial"/>
          <w:sz w:val="28"/>
          <w:szCs w:val="28"/>
          <w:rtl/>
        </w:rPr>
        <w:t>حقائق التأويل</w:t>
      </w:r>
      <w:r w:rsidRPr="00813898">
        <w:rPr>
          <w:rFonts w:ascii="Arial" w:eastAsia="Calibri" w:hAnsi="Arial" w:cs="Arial"/>
          <w:sz w:val="28"/>
          <w:szCs w:val="28"/>
        </w:rPr>
        <w:t>(</w:t>
      </w:r>
      <w:r w:rsidRPr="00813898">
        <w:rPr>
          <w:rFonts w:ascii="Arial" w:eastAsia="Calibri" w:hAnsi="Arial" w:cs="Arial" w:hint="cs"/>
          <w:sz w:val="28"/>
          <w:szCs w:val="28"/>
          <w:rtl/>
        </w:rPr>
        <w:t>:</w:t>
      </w:r>
      <w:r w:rsidRPr="00813898">
        <w:rPr>
          <w:rFonts w:ascii="Arial" w:eastAsia="Calibri" w:hAnsi="Arial" w:cs="Arial"/>
          <w:sz w:val="28"/>
          <w:szCs w:val="28"/>
          <w:rtl/>
        </w:rPr>
        <w:t>ومن أراد أن يعلم صحة ذلك فلينظر كتابنا نهج البلاغة</w:t>
      </w:r>
      <w:r w:rsidRPr="00813898">
        <w:rPr>
          <w:rFonts w:ascii="Arial" w:eastAsia="Calibri" w:hAnsi="Arial" w:cs="Arial" w:hint="cs"/>
          <w:sz w:val="28"/>
          <w:szCs w:val="28"/>
          <w:rtl/>
        </w:rPr>
        <w:t xml:space="preserve"> وكذلك في كتابه </w:t>
      </w:r>
      <w:r w:rsidRPr="00813898">
        <w:rPr>
          <w:rFonts w:ascii="Arial" w:eastAsia="Calibri" w:hAnsi="Arial" w:cs="Arial"/>
          <w:sz w:val="28"/>
          <w:szCs w:val="28"/>
        </w:rPr>
        <w:t>)</w:t>
      </w:r>
      <w:r w:rsidRPr="00813898">
        <w:rPr>
          <w:rFonts w:ascii="Arial" w:eastAsia="Calibri" w:hAnsi="Arial" w:cs="Arial"/>
          <w:sz w:val="28"/>
          <w:szCs w:val="28"/>
          <w:rtl/>
        </w:rPr>
        <w:t>المجازات النبوية</w:t>
      </w:r>
      <w:r w:rsidRPr="00813898">
        <w:rPr>
          <w:rFonts w:ascii="Arial" w:eastAsia="Calibri" w:hAnsi="Arial" w:cs="Arial"/>
          <w:sz w:val="28"/>
          <w:szCs w:val="28"/>
        </w:rPr>
        <w:t>(</w:t>
      </w:r>
      <w:r w:rsidRPr="00813898">
        <w:rPr>
          <w:rFonts w:ascii="Arial" w:eastAsia="Calibri" w:hAnsi="Arial" w:cs="Arial" w:hint="cs"/>
          <w:sz w:val="28"/>
          <w:szCs w:val="28"/>
          <w:rtl/>
        </w:rPr>
        <w:t xml:space="preserve">: </w:t>
      </w:r>
      <w:r w:rsidRPr="00813898">
        <w:rPr>
          <w:rFonts w:ascii="Arial" w:eastAsia="Calibri" w:hAnsi="Arial" w:cs="Arial"/>
          <w:sz w:val="28"/>
          <w:szCs w:val="28"/>
          <w:rtl/>
        </w:rPr>
        <w:t>وقد ذكرنا ذلك في كتابنا نهج البلاغة</w:t>
      </w:r>
      <w:r w:rsidRPr="00813898">
        <w:rPr>
          <w:rFonts w:ascii="Arial" w:eastAsia="Calibri" w:hAnsi="Arial" w:cs="Arial" w:hint="cs"/>
          <w:sz w:val="28"/>
          <w:szCs w:val="28"/>
          <w:rtl/>
        </w:rPr>
        <w:t>.</w:t>
      </w:r>
    </w:p>
    <w:p w:rsidR="00813898" w:rsidRPr="00813898" w:rsidRDefault="00813898" w:rsidP="00813898">
      <w:pPr>
        <w:bidi/>
        <w:spacing w:after="200" w:line="360" w:lineRule="auto"/>
        <w:jc w:val="both"/>
        <w:rPr>
          <w:rFonts w:ascii="Arial" w:eastAsia="Calibri" w:hAnsi="Arial" w:cs="Arial"/>
          <w:sz w:val="28"/>
          <w:szCs w:val="28"/>
        </w:rPr>
      </w:pPr>
      <w:r w:rsidRPr="00813898">
        <w:rPr>
          <w:rFonts w:ascii="Arial" w:eastAsia="Calibri" w:hAnsi="Arial" w:cs="Arial"/>
          <w:sz w:val="28"/>
          <w:szCs w:val="28"/>
          <w:rtl/>
        </w:rPr>
        <w:t>كما أن كتباً قديمة أثبتت أنّ للإمام أكثر من 400 خطبة محفوظة، منها قول المسعودي (346هـ) واليعقوبي وغيرهما. وما ضمّه النهج لا يتجاوز 240 خطبة و79 كتاباً، أي أقل بكثير مما حفظته الأمة</w:t>
      </w:r>
      <w:r w:rsidRPr="00813898">
        <w:rPr>
          <w:rFonts w:ascii="Arial" w:eastAsia="Calibri" w:hAnsi="Arial" w:cs="Arial"/>
          <w:sz w:val="28"/>
          <w:szCs w:val="28"/>
        </w:rPr>
        <w:t>.</w:t>
      </w:r>
    </w:p>
    <w:p w:rsidR="00813898" w:rsidRPr="00813898" w:rsidRDefault="00813898" w:rsidP="00813898">
      <w:pPr>
        <w:bidi/>
        <w:spacing w:after="200" w:line="360" w:lineRule="auto"/>
        <w:jc w:val="both"/>
        <w:rPr>
          <w:rFonts w:ascii="Arial" w:eastAsia="Calibri" w:hAnsi="Arial" w:cs="Arial"/>
          <w:sz w:val="28"/>
          <w:szCs w:val="28"/>
          <w:rtl/>
          <w:lang w:bidi="ar-IQ"/>
        </w:rPr>
      </w:pPr>
      <w:r w:rsidRPr="00813898">
        <w:rPr>
          <w:rFonts w:ascii="Arial" w:eastAsia="Calibri" w:hAnsi="Arial" w:cs="Arial"/>
          <w:sz w:val="28"/>
          <w:szCs w:val="28"/>
          <w:rtl/>
        </w:rPr>
        <w:t>وردود العلماء على هذه الشبهة قديمة، وأبرزها دفاع ابن أبي الحديد، حيث أكّد أن أسلوب النهج واحد لا يتجزأ، ولا يشبه أسلوب الرضي إطلاقاً، وأنّ كثيراً من محتواه مروي قبل زمانه</w:t>
      </w:r>
      <w:r w:rsidRPr="00813898">
        <w:rPr>
          <w:rFonts w:ascii="Arial" w:eastAsia="Calibri" w:hAnsi="Arial" w:cs="Arial"/>
          <w:sz w:val="28"/>
          <w:szCs w:val="28"/>
        </w:rPr>
        <w:t>.</w:t>
      </w:r>
    </w:p>
    <w:p w:rsidR="00813898" w:rsidRPr="00813898" w:rsidRDefault="00813898" w:rsidP="00813898">
      <w:pPr>
        <w:numPr>
          <w:ilvl w:val="0"/>
          <w:numId w:val="1"/>
        </w:numPr>
        <w:bidi/>
        <w:spacing w:after="200" w:line="360" w:lineRule="auto"/>
        <w:contextualSpacing/>
        <w:jc w:val="both"/>
        <w:rPr>
          <w:rFonts w:ascii="Arial" w:eastAsia="Calibri" w:hAnsi="Arial" w:cs="Arial"/>
          <w:b/>
          <w:bCs/>
          <w:sz w:val="28"/>
          <w:szCs w:val="28"/>
        </w:rPr>
      </w:pPr>
      <w:r w:rsidRPr="00813898">
        <w:rPr>
          <w:rFonts w:ascii="Arial" w:eastAsia="Calibri" w:hAnsi="Arial" w:cs="Arial"/>
          <w:sz w:val="28"/>
          <w:szCs w:val="28"/>
        </w:rPr>
        <w:t xml:space="preserve"> </w:t>
      </w:r>
      <w:r w:rsidRPr="00813898">
        <w:rPr>
          <w:rFonts w:ascii="Arial" w:eastAsia="Calibri" w:hAnsi="Arial" w:cs="Arial"/>
          <w:b/>
          <w:bCs/>
          <w:sz w:val="28"/>
          <w:szCs w:val="28"/>
          <w:rtl/>
        </w:rPr>
        <w:t>طول الخطب.</w:t>
      </w:r>
    </w:p>
    <w:p w:rsidR="00813898" w:rsidRPr="00813898" w:rsidRDefault="00813898" w:rsidP="00813898">
      <w:pPr>
        <w:bidi/>
        <w:spacing w:after="200" w:line="360" w:lineRule="auto"/>
        <w:jc w:val="both"/>
        <w:rPr>
          <w:rFonts w:ascii="Arial" w:eastAsia="Calibri" w:hAnsi="Arial" w:cs="Arial"/>
          <w:sz w:val="28"/>
          <w:szCs w:val="28"/>
        </w:rPr>
      </w:pPr>
      <w:r w:rsidRPr="00813898">
        <w:rPr>
          <w:rFonts w:ascii="Arial" w:eastAsia="Calibri" w:hAnsi="Arial" w:cs="Arial"/>
          <w:sz w:val="28"/>
          <w:szCs w:val="28"/>
          <w:rtl/>
        </w:rPr>
        <w:t>قوة الحفظ لدى العرب معروفة؛ كانوا يحفظون القصائد الطوال بمجرد سماعها، فلا غرابة في حفظ خطب الإمام</w:t>
      </w:r>
      <w:r w:rsidRPr="00813898">
        <w:rPr>
          <w:rFonts w:ascii="Arial" w:eastAsia="Calibri" w:hAnsi="Arial" w:cs="Arial"/>
          <w:sz w:val="28"/>
          <w:szCs w:val="28"/>
        </w:rPr>
        <w:t>.</w:t>
      </w:r>
    </w:p>
    <w:p w:rsidR="00813898" w:rsidRPr="00813898" w:rsidRDefault="00813898" w:rsidP="00813898">
      <w:pPr>
        <w:numPr>
          <w:ilvl w:val="0"/>
          <w:numId w:val="1"/>
        </w:numPr>
        <w:bidi/>
        <w:spacing w:after="200" w:line="360" w:lineRule="auto"/>
        <w:contextualSpacing/>
        <w:jc w:val="both"/>
        <w:rPr>
          <w:rFonts w:ascii="Arial" w:eastAsia="Calibri" w:hAnsi="Arial" w:cs="Arial"/>
          <w:b/>
          <w:bCs/>
          <w:sz w:val="28"/>
          <w:szCs w:val="28"/>
        </w:rPr>
      </w:pPr>
      <w:r w:rsidRPr="00813898">
        <w:rPr>
          <w:rFonts w:ascii="Arial" w:eastAsia="Calibri" w:hAnsi="Arial" w:cs="Arial"/>
          <w:sz w:val="28"/>
          <w:szCs w:val="28"/>
        </w:rPr>
        <w:t xml:space="preserve"> </w:t>
      </w:r>
      <w:r w:rsidRPr="00813898">
        <w:rPr>
          <w:rFonts w:ascii="Arial" w:eastAsia="Calibri" w:hAnsi="Arial" w:cs="Arial"/>
          <w:b/>
          <w:bCs/>
          <w:sz w:val="28"/>
          <w:szCs w:val="28"/>
          <w:rtl/>
        </w:rPr>
        <w:t>تعريضه ببعض الصحابة.</w:t>
      </w:r>
    </w:p>
    <w:p w:rsidR="00813898" w:rsidRPr="00813898" w:rsidRDefault="00813898" w:rsidP="00813898">
      <w:pPr>
        <w:bidi/>
        <w:spacing w:after="200" w:line="360" w:lineRule="auto"/>
        <w:jc w:val="both"/>
        <w:rPr>
          <w:rFonts w:ascii="Arial" w:eastAsia="Calibri" w:hAnsi="Arial" w:cs="Arial"/>
          <w:sz w:val="28"/>
          <w:szCs w:val="28"/>
        </w:rPr>
      </w:pPr>
      <w:r w:rsidRPr="00813898">
        <w:rPr>
          <w:rFonts w:ascii="Arial" w:eastAsia="Calibri" w:hAnsi="Arial" w:cs="Arial"/>
          <w:sz w:val="28"/>
          <w:szCs w:val="28"/>
          <w:rtl/>
        </w:rPr>
        <w:t>الإنكار مبني على الاعتقاد بعدالة جميع الصحابة، وهو مبدأ يرفضه الواقع التاريخي الذي يثبت وجود خلافات وصدامات بينهم. والإمام – سواء من جهة بشريته أو إمامته – له حق بيان مظلوميته وإيضاح الحق المغصوب منه بعد السقيفة والشورى وغيرهما</w:t>
      </w:r>
      <w:r w:rsidRPr="00813898">
        <w:rPr>
          <w:rFonts w:ascii="Arial" w:eastAsia="Calibri" w:hAnsi="Arial" w:cs="Arial"/>
          <w:sz w:val="28"/>
          <w:szCs w:val="28"/>
        </w:rPr>
        <w:t>.</w:t>
      </w:r>
    </w:p>
    <w:p w:rsidR="00813898" w:rsidRPr="00813898" w:rsidRDefault="00813898" w:rsidP="00813898">
      <w:pPr>
        <w:bidi/>
        <w:spacing w:after="200" w:line="360" w:lineRule="auto"/>
        <w:jc w:val="both"/>
        <w:rPr>
          <w:rFonts w:ascii="Arial" w:eastAsia="Calibri" w:hAnsi="Arial" w:cs="Arial"/>
          <w:sz w:val="28"/>
          <w:szCs w:val="28"/>
        </w:rPr>
      </w:pPr>
      <w:proofErr w:type="spellStart"/>
      <w:r w:rsidRPr="00813898">
        <w:rPr>
          <w:rFonts w:ascii="Arial" w:eastAsia="Calibri" w:hAnsi="Arial" w:cs="Arial"/>
          <w:sz w:val="28"/>
          <w:szCs w:val="28"/>
          <w:rtl/>
        </w:rPr>
        <w:t>والشقشقية</w:t>
      </w:r>
      <w:proofErr w:type="spellEnd"/>
      <w:r w:rsidRPr="00813898">
        <w:rPr>
          <w:rFonts w:ascii="Arial" w:eastAsia="Calibri" w:hAnsi="Arial" w:cs="Arial"/>
          <w:sz w:val="28"/>
          <w:szCs w:val="28"/>
          <w:rtl/>
        </w:rPr>
        <w:t xml:space="preserve"> رويت قبل الشريف الرضي في مصادر كثيرة منسوبة لابن عباس، واختلاف ألفاظها دليل على قدمها، ولو كان الرضي واضعها لانتقلت بصيغة واحدة</w:t>
      </w:r>
      <w:r w:rsidRPr="00813898">
        <w:rPr>
          <w:rFonts w:ascii="Arial" w:eastAsia="Calibri" w:hAnsi="Arial" w:cs="Arial"/>
          <w:sz w:val="28"/>
          <w:szCs w:val="28"/>
        </w:rPr>
        <w:t>.</w:t>
      </w:r>
    </w:p>
    <w:p w:rsidR="00813898" w:rsidRPr="00813898" w:rsidRDefault="00813898" w:rsidP="00813898">
      <w:pPr>
        <w:bidi/>
        <w:spacing w:after="200" w:line="360" w:lineRule="auto"/>
        <w:jc w:val="both"/>
        <w:rPr>
          <w:rFonts w:ascii="Arial" w:eastAsia="Calibri" w:hAnsi="Arial" w:cs="Arial"/>
          <w:sz w:val="28"/>
          <w:szCs w:val="28"/>
          <w:rtl/>
          <w:lang w:bidi="ar-IQ"/>
        </w:rPr>
      </w:pPr>
      <w:r w:rsidRPr="00813898">
        <w:rPr>
          <w:rFonts w:ascii="Arial" w:eastAsia="Calibri" w:hAnsi="Arial" w:cs="Arial"/>
          <w:sz w:val="28"/>
          <w:szCs w:val="28"/>
          <w:rtl/>
        </w:rPr>
        <w:lastRenderedPageBreak/>
        <w:t>وينقل ابن أبي الحديد قصة ابن الخشاب الذي أقسم أنّ الخطبة من كلام الإمام، وذكر رؤيته لها بخطوط قديمة قبل ولادة الرضي بمئتي سنة، ووجود نصوصها في كتب البلخي وابن قِبَة وغيرهما</w:t>
      </w:r>
      <w:r w:rsidRPr="00813898">
        <w:rPr>
          <w:rFonts w:ascii="Arial" w:eastAsia="Calibri" w:hAnsi="Arial" w:cs="Arial"/>
          <w:sz w:val="28"/>
          <w:szCs w:val="28"/>
        </w:rPr>
        <w:t>.</w:t>
      </w:r>
    </w:p>
    <w:p w:rsidR="00813898" w:rsidRPr="00813898" w:rsidRDefault="00813898" w:rsidP="00813898">
      <w:pPr>
        <w:bidi/>
        <w:spacing w:after="200" w:line="360" w:lineRule="auto"/>
        <w:jc w:val="both"/>
        <w:rPr>
          <w:rFonts w:ascii="Arial" w:eastAsia="Calibri" w:hAnsi="Arial" w:cs="Arial"/>
          <w:sz w:val="28"/>
          <w:szCs w:val="28"/>
          <w:rtl/>
          <w:lang w:bidi="ar-IQ"/>
        </w:rPr>
      </w:pPr>
    </w:p>
    <w:p w:rsidR="00813898" w:rsidRPr="00813898" w:rsidRDefault="00813898" w:rsidP="00813898">
      <w:pPr>
        <w:numPr>
          <w:ilvl w:val="0"/>
          <w:numId w:val="1"/>
        </w:numPr>
        <w:bidi/>
        <w:spacing w:after="200" w:line="360" w:lineRule="auto"/>
        <w:contextualSpacing/>
        <w:jc w:val="both"/>
        <w:rPr>
          <w:rFonts w:ascii="Arial" w:eastAsia="Calibri" w:hAnsi="Arial" w:cs="Arial"/>
          <w:b/>
          <w:bCs/>
          <w:sz w:val="28"/>
          <w:szCs w:val="28"/>
        </w:rPr>
      </w:pPr>
      <w:r w:rsidRPr="00813898">
        <w:rPr>
          <w:rFonts w:ascii="Arial" w:eastAsia="Calibri" w:hAnsi="Arial" w:cs="Arial"/>
          <w:b/>
          <w:bCs/>
          <w:sz w:val="28"/>
          <w:szCs w:val="28"/>
          <w:rtl/>
        </w:rPr>
        <w:t>كثرة الخطب.</w:t>
      </w:r>
    </w:p>
    <w:p w:rsidR="00813898" w:rsidRPr="00813898" w:rsidRDefault="00813898" w:rsidP="00813898">
      <w:pPr>
        <w:bidi/>
        <w:spacing w:after="200" w:line="360" w:lineRule="auto"/>
        <w:jc w:val="both"/>
        <w:rPr>
          <w:rFonts w:ascii="Arial" w:eastAsia="Calibri" w:hAnsi="Arial" w:cs="Arial"/>
          <w:sz w:val="28"/>
          <w:szCs w:val="28"/>
          <w:rtl/>
          <w:lang w:bidi="ar-IQ"/>
        </w:rPr>
      </w:pPr>
      <w:r w:rsidRPr="00813898">
        <w:rPr>
          <w:rFonts w:ascii="Arial" w:eastAsia="Calibri" w:hAnsi="Arial" w:cs="Arial"/>
          <w:sz w:val="28"/>
          <w:szCs w:val="28"/>
          <w:rtl/>
        </w:rPr>
        <w:t>كثرة الأحداث السياسية والعسكرية والاجتماعية تقتضي صدور هذا الكم من الخطب، بل إن المروي أكثر مما جمعه الرضي</w:t>
      </w:r>
      <w:r w:rsidRPr="00813898">
        <w:rPr>
          <w:rFonts w:ascii="Arial" w:eastAsia="Calibri" w:hAnsi="Arial" w:cs="Arial"/>
          <w:sz w:val="28"/>
          <w:szCs w:val="28"/>
        </w:rPr>
        <w:t>.</w:t>
      </w:r>
    </w:p>
    <w:p w:rsidR="00813898" w:rsidRPr="00813898" w:rsidRDefault="00813898" w:rsidP="00813898">
      <w:pPr>
        <w:numPr>
          <w:ilvl w:val="0"/>
          <w:numId w:val="1"/>
        </w:numPr>
        <w:bidi/>
        <w:spacing w:after="200" w:line="360" w:lineRule="auto"/>
        <w:contextualSpacing/>
        <w:jc w:val="both"/>
        <w:rPr>
          <w:rFonts w:ascii="Arial" w:eastAsia="Calibri" w:hAnsi="Arial" w:cs="Arial"/>
          <w:b/>
          <w:bCs/>
          <w:sz w:val="28"/>
          <w:szCs w:val="28"/>
          <w:rtl/>
          <w:lang w:bidi="ar-IQ"/>
        </w:rPr>
      </w:pPr>
      <w:r w:rsidRPr="00813898">
        <w:rPr>
          <w:rFonts w:ascii="Arial" w:eastAsia="Calibri" w:hAnsi="Arial" w:cs="Arial"/>
          <w:sz w:val="28"/>
          <w:szCs w:val="28"/>
        </w:rPr>
        <w:t xml:space="preserve"> </w:t>
      </w:r>
      <w:r w:rsidRPr="00813898">
        <w:rPr>
          <w:rFonts w:ascii="Arial" w:eastAsia="Calibri" w:hAnsi="Arial" w:cs="Arial"/>
          <w:b/>
          <w:bCs/>
          <w:sz w:val="28"/>
          <w:szCs w:val="28"/>
          <w:rtl/>
        </w:rPr>
        <w:t xml:space="preserve">طول الكتب (مثل عهد مالك </w:t>
      </w:r>
      <w:proofErr w:type="gramStart"/>
      <w:r w:rsidRPr="00813898">
        <w:rPr>
          <w:rFonts w:ascii="Arial" w:eastAsia="Calibri" w:hAnsi="Arial" w:cs="Arial"/>
          <w:b/>
          <w:bCs/>
          <w:sz w:val="28"/>
          <w:szCs w:val="28"/>
          <w:rtl/>
        </w:rPr>
        <w:t>الأشتر</w:t>
      </w:r>
      <w:r w:rsidRPr="00813898">
        <w:rPr>
          <w:rFonts w:ascii="Arial" w:eastAsia="Calibri" w:hAnsi="Arial" w:cs="Arial"/>
          <w:b/>
          <w:bCs/>
          <w:sz w:val="28"/>
          <w:szCs w:val="28"/>
        </w:rPr>
        <w:t>(</w:t>
      </w:r>
      <w:proofErr w:type="gramEnd"/>
      <w:r w:rsidRPr="00813898">
        <w:rPr>
          <w:rFonts w:ascii="Arial" w:eastAsia="Calibri" w:hAnsi="Arial" w:cs="Arial"/>
          <w:b/>
          <w:bCs/>
          <w:sz w:val="28"/>
          <w:szCs w:val="28"/>
          <w:rtl/>
          <w:lang w:bidi="ar-IQ"/>
        </w:rPr>
        <w:t>.</w:t>
      </w:r>
    </w:p>
    <w:p w:rsidR="00813898" w:rsidRPr="00813898" w:rsidRDefault="00813898" w:rsidP="00813898">
      <w:pPr>
        <w:bidi/>
        <w:spacing w:after="200" w:line="360" w:lineRule="auto"/>
        <w:jc w:val="both"/>
        <w:rPr>
          <w:rFonts w:ascii="Arial" w:eastAsia="Calibri" w:hAnsi="Arial" w:cs="Arial"/>
          <w:sz w:val="28"/>
          <w:szCs w:val="28"/>
          <w:rtl/>
          <w:lang w:bidi="ar-IQ"/>
        </w:rPr>
      </w:pPr>
      <w:r w:rsidRPr="00813898">
        <w:rPr>
          <w:rFonts w:ascii="Arial" w:eastAsia="Calibri" w:hAnsi="Arial" w:cs="Arial"/>
          <w:sz w:val="28"/>
          <w:szCs w:val="28"/>
          <w:rtl/>
        </w:rPr>
        <w:t>تطوّر الظرف الإداري وفساد الولاة يفرض كتاباً شاملاً يوضح منهج الحاكم العادل، لذا جاءت وصية مالك مفصلة</w:t>
      </w:r>
      <w:r w:rsidRPr="00813898">
        <w:rPr>
          <w:rFonts w:ascii="Arial" w:eastAsia="Calibri" w:hAnsi="Arial" w:cs="Arial"/>
          <w:sz w:val="28"/>
          <w:szCs w:val="28"/>
        </w:rPr>
        <w:t>.</w:t>
      </w:r>
    </w:p>
    <w:p w:rsidR="00813898" w:rsidRPr="00813898" w:rsidRDefault="00813898" w:rsidP="00813898">
      <w:pPr>
        <w:numPr>
          <w:ilvl w:val="0"/>
          <w:numId w:val="1"/>
        </w:numPr>
        <w:bidi/>
        <w:spacing w:after="200" w:line="360" w:lineRule="auto"/>
        <w:contextualSpacing/>
        <w:jc w:val="both"/>
        <w:rPr>
          <w:rFonts w:ascii="Arial" w:eastAsia="Calibri" w:hAnsi="Arial" w:cs="Arial"/>
          <w:b/>
          <w:bCs/>
          <w:sz w:val="28"/>
          <w:szCs w:val="28"/>
        </w:rPr>
      </w:pPr>
      <w:r w:rsidRPr="00813898">
        <w:rPr>
          <w:rFonts w:ascii="Arial" w:eastAsia="Calibri" w:hAnsi="Arial" w:cs="Arial"/>
          <w:b/>
          <w:bCs/>
          <w:sz w:val="28"/>
          <w:szCs w:val="28"/>
          <w:rtl/>
        </w:rPr>
        <w:t>الإخبار بالغيب.</w:t>
      </w:r>
    </w:p>
    <w:p w:rsidR="00813898" w:rsidRPr="00813898" w:rsidRDefault="00813898" w:rsidP="00813898">
      <w:pPr>
        <w:bidi/>
        <w:spacing w:after="200" w:line="360" w:lineRule="auto"/>
        <w:jc w:val="both"/>
        <w:rPr>
          <w:rFonts w:ascii="Arial" w:eastAsia="Calibri" w:hAnsi="Arial" w:cs="Arial"/>
          <w:sz w:val="28"/>
          <w:szCs w:val="28"/>
          <w:rtl/>
          <w:lang w:bidi="ar-IQ"/>
        </w:rPr>
      </w:pPr>
      <w:r w:rsidRPr="00813898">
        <w:rPr>
          <w:rFonts w:ascii="Arial" w:eastAsia="Calibri" w:hAnsi="Arial" w:cs="Arial"/>
          <w:sz w:val="28"/>
          <w:szCs w:val="28"/>
          <w:rtl/>
        </w:rPr>
        <w:t xml:space="preserve">تحققت الوقائع التي ذكرها الإمام، كالأحداث المتعلقة بالزنج والتتار والخوارج وغيرهم، وقد صرّح الإمام نفسه أنّ علمه ليس غيباً ذاتياً، بل تعلّم من النبي (صلى الله عليه </w:t>
      </w:r>
      <w:proofErr w:type="spellStart"/>
      <w:r w:rsidRPr="00813898">
        <w:rPr>
          <w:rFonts w:ascii="Arial" w:eastAsia="Calibri" w:hAnsi="Arial" w:cs="Arial"/>
          <w:sz w:val="28"/>
          <w:szCs w:val="28"/>
          <w:rtl/>
        </w:rPr>
        <w:t>وآله</w:t>
      </w:r>
      <w:proofErr w:type="spellEnd"/>
      <w:r w:rsidRPr="00813898">
        <w:rPr>
          <w:rFonts w:ascii="Arial" w:eastAsia="Calibri" w:hAnsi="Arial" w:cs="Arial"/>
          <w:sz w:val="28"/>
          <w:szCs w:val="28"/>
          <w:rtl/>
        </w:rPr>
        <w:t>)</w:t>
      </w:r>
    </w:p>
    <w:p w:rsidR="00813898" w:rsidRPr="00813898" w:rsidRDefault="00813898" w:rsidP="00813898">
      <w:pPr>
        <w:numPr>
          <w:ilvl w:val="0"/>
          <w:numId w:val="1"/>
        </w:numPr>
        <w:bidi/>
        <w:spacing w:after="200" w:line="360" w:lineRule="auto"/>
        <w:contextualSpacing/>
        <w:jc w:val="both"/>
        <w:rPr>
          <w:rFonts w:ascii="Arial" w:eastAsia="Calibri" w:hAnsi="Arial" w:cs="Arial"/>
          <w:b/>
          <w:bCs/>
          <w:sz w:val="28"/>
          <w:szCs w:val="28"/>
        </w:rPr>
      </w:pPr>
      <w:r w:rsidRPr="00813898">
        <w:rPr>
          <w:rFonts w:ascii="Arial" w:eastAsia="Calibri" w:hAnsi="Arial" w:cs="Arial"/>
          <w:b/>
          <w:bCs/>
          <w:sz w:val="28"/>
          <w:szCs w:val="28"/>
          <w:rtl/>
        </w:rPr>
        <w:t>الألفاظ الفلسفية.</w:t>
      </w:r>
    </w:p>
    <w:p w:rsidR="00813898" w:rsidRPr="00813898" w:rsidRDefault="00813898" w:rsidP="00813898">
      <w:pPr>
        <w:bidi/>
        <w:spacing w:after="200" w:line="360" w:lineRule="auto"/>
        <w:jc w:val="both"/>
        <w:rPr>
          <w:rFonts w:ascii="Arial" w:eastAsia="Calibri" w:hAnsi="Arial" w:cs="Arial"/>
          <w:sz w:val="28"/>
          <w:szCs w:val="28"/>
          <w:rtl/>
          <w:lang w:bidi="ar-IQ"/>
        </w:rPr>
      </w:pPr>
      <w:r w:rsidRPr="00813898">
        <w:rPr>
          <w:rFonts w:ascii="Arial" w:eastAsia="Calibri" w:hAnsi="Arial" w:cs="Arial"/>
          <w:sz w:val="28"/>
          <w:szCs w:val="28"/>
          <w:rtl/>
        </w:rPr>
        <w:t>وردت بمعانيها اللغوية لا الاصطلاحية. ولا يمكن ردّ النص الفصيح اعتماداً على اجتهاد لغوي لاحق. كما أنّ القرآن والحديث يحويان تنظيراً عقلانياً أصيلاً</w:t>
      </w:r>
      <w:r w:rsidRPr="00813898">
        <w:rPr>
          <w:rFonts w:ascii="Arial" w:eastAsia="Calibri" w:hAnsi="Arial" w:cs="Arial"/>
          <w:sz w:val="28"/>
          <w:szCs w:val="28"/>
        </w:rPr>
        <w:t>.</w:t>
      </w:r>
    </w:p>
    <w:p w:rsidR="00813898" w:rsidRPr="00813898" w:rsidRDefault="00813898" w:rsidP="00813898">
      <w:pPr>
        <w:numPr>
          <w:ilvl w:val="0"/>
          <w:numId w:val="1"/>
        </w:numPr>
        <w:bidi/>
        <w:spacing w:after="200" w:line="360" w:lineRule="auto"/>
        <w:contextualSpacing/>
        <w:jc w:val="both"/>
        <w:rPr>
          <w:rFonts w:ascii="Arial" w:eastAsia="Calibri" w:hAnsi="Arial" w:cs="Arial"/>
          <w:b/>
          <w:bCs/>
          <w:sz w:val="28"/>
          <w:szCs w:val="28"/>
        </w:rPr>
      </w:pPr>
      <w:r w:rsidRPr="00813898">
        <w:rPr>
          <w:rFonts w:ascii="Arial" w:eastAsia="Calibri" w:hAnsi="Arial" w:cs="Arial"/>
          <w:sz w:val="28"/>
          <w:szCs w:val="28"/>
        </w:rPr>
        <w:t xml:space="preserve"> </w:t>
      </w:r>
      <w:r w:rsidRPr="00813898">
        <w:rPr>
          <w:rFonts w:ascii="Arial" w:eastAsia="Calibri" w:hAnsi="Arial" w:cs="Arial"/>
          <w:b/>
          <w:bCs/>
          <w:sz w:val="28"/>
          <w:szCs w:val="28"/>
          <w:rtl/>
        </w:rPr>
        <w:t>الأساليب البلاغية المتقدمة.</w:t>
      </w:r>
    </w:p>
    <w:p w:rsidR="00813898" w:rsidRPr="00813898" w:rsidRDefault="00813898" w:rsidP="00813898">
      <w:pPr>
        <w:bidi/>
        <w:spacing w:after="200" w:line="360" w:lineRule="auto"/>
        <w:jc w:val="both"/>
        <w:rPr>
          <w:rFonts w:ascii="Arial" w:eastAsia="Calibri" w:hAnsi="Arial" w:cs="Arial"/>
          <w:sz w:val="28"/>
          <w:szCs w:val="28"/>
        </w:rPr>
      </w:pPr>
      <w:r w:rsidRPr="00813898">
        <w:rPr>
          <w:rFonts w:ascii="Arial" w:eastAsia="Calibri" w:hAnsi="Arial" w:cs="Arial"/>
          <w:sz w:val="28"/>
          <w:szCs w:val="28"/>
          <w:rtl/>
        </w:rPr>
        <w:t>البيان العربي ملكة لدى العرب، والإمام هو أفصح العرب بعد الرسول، فلا غرابة أن يحتوي كلامه على أرقى الفنون البلاغية والوصفية</w:t>
      </w:r>
      <w:r w:rsidRPr="00813898">
        <w:rPr>
          <w:rFonts w:ascii="Arial" w:eastAsia="Calibri" w:hAnsi="Arial" w:cs="Arial"/>
          <w:sz w:val="28"/>
          <w:szCs w:val="28"/>
        </w:rPr>
        <w:t>.</w:t>
      </w:r>
    </w:p>
    <w:p w:rsidR="00221A28" w:rsidRPr="00813898" w:rsidRDefault="00221A28" w:rsidP="00813898">
      <w:pPr>
        <w:bidi/>
        <w:rPr>
          <w:sz w:val="28"/>
          <w:szCs w:val="28"/>
        </w:rPr>
      </w:pPr>
      <w:bookmarkStart w:id="0" w:name="_GoBack"/>
      <w:bookmarkEnd w:id="0"/>
    </w:p>
    <w:sectPr w:rsidR="00221A28" w:rsidRPr="00813898" w:rsidSect="0081389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1DE9"/>
    <w:multiLevelType w:val="hybridMultilevel"/>
    <w:tmpl w:val="D7DA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936AA"/>
    <w:multiLevelType w:val="hybridMultilevel"/>
    <w:tmpl w:val="E7F05FF0"/>
    <w:lvl w:ilvl="0" w:tplc="EE70E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BD"/>
    <w:rsid w:val="00221A28"/>
    <w:rsid w:val="003573BD"/>
    <w:rsid w:val="00813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76AED-C83A-4377-A159-D5D07070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1761</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فاطمه</dc:creator>
  <cp:keywords/>
  <dc:description/>
  <cp:lastModifiedBy>مركز ابو فاطمه</cp:lastModifiedBy>
  <cp:revision>2</cp:revision>
  <dcterms:created xsi:type="dcterms:W3CDTF">2026-05-25T08:06:00Z</dcterms:created>
  <dcterms:modified xsi:type="dcterms:W3CDTF">2026-05-25T08:07:00Z</dcterms:modified>
</cp:coreProperties>
</file>